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2DE" w14:textId="1ACDEE03" w:rsidR="004C417D" w:rsidRPr="000F2B94" w:rsidRDefault="00CA051E" w:rsidP="000F2B94">
      <w:pPr>
        <w:rPr>
          <w:rFonts w:asciiTheme="minorHAnsi" w:eastAsia="Avenir" w:hAnsiTheme="minorHAnsi" w:cstheme="minorHAnsi"/>
        </w:rPr>
      </w:pPr>
      <w:r w:rsidRPr="000F2B94">
        <w:rPr>
          <w:rFonts w:asciiTheme="minorHAnsi" w:eastAsia="Avenir" w:hAnsiTheme="minorHAnsi" w:cstheme="minorHAnsi"/>
        </w:rPr>
        <w:t>Attendees</w:t>
      </w:r>
      <w:r w:rsidR="009A6131" w:rsidRPr="000F2B94">
        <w:rPr>
          <w:rFonts w:asciiTheme="minorHAnsi" w:eastAsia="Avenir" w:hAnsiTheme="minorHAnsi" w:cstheme="minorHAnsi"/>
        </w:rPr>
        <w:t>:</w:t>
      </w:r>
    </w:p>
    <w:p w14:paraId="0E95605F" w14:textId="77777777" w:rsidR="004C417D" w:rsidRPr="000F2B94" w:rsidRDefault="004C417D" w:rsidP="000F2B94">
      <w:pPr>
        <w:rPr>
          <w:rFonts w:asciiTheme="minorHAnsi" w:eastAsia="Avenir" w:hAnsiTheme="minorHAnsi" w:cstheme="minorHAnsi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965"/>
      </w:tblGrid>
      <w:tr w:rsidR="002065DC" w:rsidRPr="000F2B94" w14:paraId="193CB0E2" w14:textId="77777777" w:rsidTr="00CA6CAD">
        <w:trPr>
          <w:trHeight w:val="281"/>
        </w:trPr>
        <w:tc>
          <w:tcPr>
            <w:tcW w:w="4755" w:type="dxa"/>
          </w:tcPr>
          <w:p w14:paraId="139EDCF3" w14:textId="77777777" w:rsidR="002065DC" w:rsidRPr="000F2B94" w:rsidRDefault="002065DC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  <w:r w:rsidRPr="000F2B94">
              <w:rPr>
                <w:rFonts w:asciiTheme="minorHAnsi" w:eastAsia="Avenir" w:hAnsiTheme="minorHAnsi" w:cstheme="minorHAnsi"/>
              </w:rPr>
              <w:t>Bishop, Jamie (UCSB EHS BSO)</w:t>
            </w:r>
          </w:p>
        </w:tc>
        <w:tc>
          <w:tcPr>
            <w:tcW w:w="4965" w:type="dxa"/>
          </w:tcPr>
          <w:p w14:paraId="508F0196" w14:textId="55BDABCB" w:rsidR="002065DC" w:rsidRPr="000F2B94" w:rsidRDefault="002065DC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  <w:r w:rsidRPr="000F2B94">
              <w:rPr>
                <w:rFonts w:asciiTheme="minorHAnsi" w:eastAsia="Avenir" w:hAnsiTheme="minorHAnsi" w:cstheme="minorHAnsi"/>
              </w:rPr>
              <w:t>Ma, Zach (UCSB MCDB</w:t>
            </w:r>
            <w:r w:rsidR="00B2569A" w:rsidRPr="000F2B94">
              <w:rPr>
                <w:rFonts w:asciiTheme="minorHAnsi" w:eastAsia="Avenir" w:hAnsiTheme="minorHAnsi" w:cstheme="minorHAnsi"/>
              </w:rPr>
              <w:t>; Vice Chair</w:t>
            </w:r>
            <w:r w:rsidRPr="000F2B94">
              <w:rPr>
                <w:rFonts w:asciiTheme="minorHAnsi" w:eastAsia="Avenir" w:hAnsiTheme="minorHAnsi" w:cstheme="minorHAnsi"/>
              </w:rPr>
              <w:t>)</w:t>
            </w:r>
          </w:p>
        </w:tc>
      </w:tr>
      <w:tr w:rsidR="002065DC" w:rsidRPr="000F2B94" w14:paraId="502C390B" w14:textId="77777777" w:rsidTr="00CA6CAD">
        <w:trPr>
          <w:trHeight w:val="281"/>
        </w:trPr>
        <w:tc>
          <w:tcPr>
            <w:tcW w:w="4755" w:type="dxa"/>
          </w:tcPr>
          <w:p w14:paraId="485A9C54" w14:textId="77777777" w:rsidR="002065DC" w:rsidRPr="000F2B94" w:rsidRDefault="002065DC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  <w:r w:rsidRPr="000F2B94">
              <w:rPr>
                <w:rFonts w:asciiTheme="minorHAnsi" w:eastAsia="Avenir" w:hAnsiTheme="minorHAnsi" w:cstheme="minorHAnsi"/>
              </w:rPr>
              <w:t>Blakemore, Melodie (UCSB OR)</w:t>
            </w:r>
          </w:p>
        </w:tc>
        <w:tc>
          <w:tcPr>
            <w:tcW w:w="4965" w:type="dxa"/>
          </w:tcPr>
          <w:p w14:paraId="572C0E44" w14:textId="780AABAB" w:rsidR="002065DC" w:rsidRPr="000F2B94" w:rsidRDefault="002065DC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  <w:r w:rsidRPr="000F2B94">
              <w:rPr>
                <w:rFonts w:asciiTheme="minorHAnsi" w:eastAsia="Avenir" w:hAnsiTheme="minorHAnsi" w:cstheme="minorHAnsi"/>
              </w:rPr>
              <w:t>Mahan, Michael (UCSB MCDB; Chair)</w:t>
            </w:r>
          </w:p>
        </w:tc>
      </w:tr>
      <w:tr w:rsidR="00CA051E" w:rsidRPr="000F2B94" w14:paraId="6D81E89E" w14:textId="77777777" w:rsidTr="00CA6CAD">
        <w:trPr>
          <w:trHeight w:val="281"/>
        </w:trPr>
        <w:tc>
          <w:tcPr>
            <w:tcW w:w="4755" w:type="dxa"/>
          </w:tcPr>
          <w:p w14:paraId="4B953BE1" w14:textId="7F77AA3E" w:rsidR="00CA051E" w:rsidRPr="000F2B94" w:rsidRDefault="00CA051E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  <w:r w:rsidRPr="000F2B94">
              <w:rPr>
                <w:rFonts w:asciiTheme="minorHAnsi" w:eastAsia="Avenir" w:hAnsiTheme="minorHAnsi" w:cstheme="minorHAnsi"/>
              </w:rPr>
              <w:t>Garcia, Manuel (UCSB ARC)</w:t>
            </w:r>
          </w:p>
        </w:tc>
        <w:tc>
          <w:tcPr>
            <w:tcW w:w="4965" w:type="dxa"/>
          </w:tcPr>
          <w:p w14:paraId="3726FB42" w14:textId="5240E365" w:rsidR="00CA051E" w:rsidRPr="000F2B94" w:rsidRDefault="00CA051E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  <w:r w:rsidRPr="000F2B94">
              <w:rPr>
                <w:rFonts w:asciiTheme="minorHAnsi" w:eastAsia="Avenir" w:hAnsiTheme="minorHAnsi" w:cstheme="minorHAnsi"/>
              </w:rPr>
              <w:t xml:space="preserve">Smith, </w:t>
            </w:r>
            <w:proofErr w:type="spellStart"/>
            <w:r w:rsidRPr="000F2B94">
              <w:rPr>
                <w:rFonts w:asciiTheme="minorHAnsi" w:eastAsia="Avenir" w:hAnsiTheme="minorHAnsi" w:cstheme="minorHAnsi"/>
              </w:rPr>
              <w:t>Ikuko</w:t>
            </w:r>
            <w:proofErr w:type="spellEnd"/>
            <w:r w:rsidRPr="000F2B94">
              <w:rPr>
                <w:rFonts w:asciiTheme="minorHAnsi" w:eastAsia="Avenir" w:hAnsiTheme="minorHAnsi" w:cstheme="minorHAnsi"/>
              </w:rPr>
              <w:t xml:space="preserve"> (UCSB MCDB and P&amp;BS)</w:t>
            </w:r>
          </w:p>
        </w:tc>
      </w:tr>
      <w:tr w:rsidR="00CA051E" w:rsidRPr="000F2B94" w14:paraId="23399EBF" w14:textId="77777777" w:rsidTr="00CA6CAD">
        <w:trPr>
          <w:trHeight w:val="281"/>
        </w:trPr>
        <w:tc>
          <w:tcPr>
            <w:tcW w:w="4755" w:type="dxa"/>
          </w:tcPr>
          <w:p w14:paraId="51AC7372" w14:textId="2A8B7950" w:rsidR="00CA051E" w:rsidRPr="000F2B94" w:rsidRDefault="00CA051E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</w:p>
        </w:tc>
        <w:tc>
          <w:tcPr>
            <w:tcW w:w="4965" w:type="dxa"/>
          </w:tcPr>
          <w:p w14:paraId="5FD5AC23" w14:textId="7589EAB7" w:rsidR="00CA051E" w:rsidRPr="000F2B94" w:rsidRDefault="00CA051E" w:rsidP="000F2B94">
            <w:pPr>
              <w:spacing w:line="276" w:lineRule="auto"/>
              <w:rPr>
                <w:rFonts w:asciiTheme="minorHAnsi" w:eastAsia="Avenir" w:hAnsiTheme="minorHAnsi" w:cstheme="minorHAnsi"/>
              </w:rPr>
            </w:pPr>
          </w:p>
        </w:tc>
      </w:tr>
    </w:tbl>
    <w:p w14:paraId="5BF0AE06" w14:textId="36D4EF3C" w:rsidR="00B37EA8" w:rsidRPr="000F2B94" w:rsidRDefault="00CA051E" w:rsidP="000F2B94">
      <w:pPr>
        <w:rPr>
          <w:rFonts w:asciiTheme="minorHAnsi" w:eastAsia="Avenir" w:hAnsiTheme="minorHAnsi" w:cstheme="minorHAnsi"/>
          <w:b/>
        </w:rPr>
      </w:pPr>
      <w:bookmarkStart w:id="0" w:name="_heading=h.30j0zll" w:colFirst="0" w:colLast="0"/>
      <w:bookmarkEnd w:id="0"/>
      <w:r w:rsidRPr="000F2B94">
        <w:rPr>
          <w:rFonts w:asciiTheme="minorHAnsi" w:eastAsia="Avenir" w:hAnsiTheme="minorHAnsi" w:cstheme="minorHAnsi"/>
          <w:b/>
        </w:rPr>
        <w:t>Called to order at 3:</w:t>
      </w:r>
      <w:r w:rsidR="00925F78" w:rsidRPr="000F2B94">
        <w:rPr>
          <w:rFonts w:asciiTheme="minorHAnsi" w:eastAsia="Avenir" w:hAnsiTheme="minorHAnsi" w:cstheme="minorHAnsi"/>
          <w:b/>
        </w:rPr>
        <w:t>02</w:t>
      </w:r>
      <w:r w:rsidRPr="000F2B94">
        <w:rPr>
          <w:rFonts w:asciiTheme="minorHAnsi" w:eastAsia="Avenir" w:hAnsiTheme="minorHAnsi" w:cstheme="minorHAnsi"/>
          <w:b/>
        </w:rPr>
        <w:t xml:space="preserve">pm. </w:t>
      </w:r>
    </w:p>
    <w:p w14:paraId="6777A508" w14:textId="77777777" w:rsidR="00CA051E" w:rsidRPr="000F2B94" w:rsidRDefault="00CA051E" w:rsidP="000F2B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venir" w:hAnsiTheme="minorHAnsi" w:cstheme="minorHAnsi"/>
          <w:b/>
          <w:color w:val="000000"/>
        </w:rPr>
      </w:pPr>
    </w:p>
    <w:p w14:paraId="3B5102AF" w14:textId="13E8DD1F" w:rsidR="004C417D" w:rsidRPr="000F2B94" w:rsidRDefault="009A6131" w:rsidP="000F2B9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venir" w:hAnsiTheme="minorHAnsi" w:cstheme="minorHAnsi"/>
          <w:b/>
          <w:color w:val="000000"/>
        </w:rPr>
      </w:pPr>
      <w:r w:rsidRPr="000F2B94">
        <w:rPr>
          <w:rFonts w:asciiTheme="minorHAnsi" w:eastAsia="Avenir" w:hAnsiTheme="minorHAnsi" w:cstheme="minorHAnsi"/>
          <w:b/>
          <w:color w:val="000000"/>
        </w:rPr>
        <w:t>Approval of minutes</w:t>
      </w:r>
    </w:p>
    <w:p w14:paraId="2DE0B9A2" w14:textId="461C48CC" w:rsidR="004C417D" w:rsidRPr="000F2B94" w:rsidRDefault="00CA051E" w:rsidP="000F2B94">
      <w:pPr>
        <w:rPr>
          <w:rFonts w:asciiTheme="minorHAnsi" w:eastAsia="Avenir" w:hAnsiTheme="minorHAnsi" w:cstheme="minorHAnsi"/>
        </w:rPr>
      </w:pPr>
      <w:r w:rsidRPr="000F2B94">
        <w:rPr>
          <w:rFonts w:asciiTheme="minorHAnsi" w:eastAsia="Avenir" w:hAnsiTheme="minorHAnsi" w:cstheme="minorHAnsi"/>
        </w:rPr>
        <w:t xml:space="preserve">The Committee approved the minutes for the </w:t>
      </w:r>
      <w:r w:rsidR="009A6131" w:rsidRPr="000F2B94">
        <w:rPr>
          <w:rFonts w:asciiTheme="minorHAnsi" w:eastAsia="Avenir" w:hAnsiTheme="minorHAnsi" w:cstheme="minorHAnsi"/>
        </w:rPr>
        <w:t xml:space="preserve">IBC meeting of </w:t>
      </w:r>
      <w:r w:rsidR="00AF458D" w:rsidRPr="000F2B94">
        <w:rPr>
          <w:rFonts w:asciiTheme="minorHAnsi" w:eastAsia="Avenir" w:hAnsiTheme="minorHAnsi" w:cstheme="minorHAnsi"/>
        </w:rPr>
        <w:t>October 27</w:t>
      </w:r>
      <w:r w:rsidR="009A6131" w:rsidRPr="000F2B94">
        <w:rPr>
          <w:rFonts w:asciiTheme="minorHAnsi" w:eastAsia="Avenir" w:hAnsiTheme="minorHAnsi" w:cstheme="minorHAnsi"/>
        </w:rPr>
        <w:t>, 202</w:t>
      </w:r>
      <w:r w:rsidR="001C1D0D" w:rsidRPr="000F2B94">
        <w:rPr>
          <w:rFonts w:asciiTheme="minorHAnsi" w:eastAsia="Avenir" w:hAnsiTheme="minorHAnsi" w:cstheme="minorHAnsi"/>
        </w:rPr>
        <w:t>5</w:t>
      </w:r>
      <w:r w:rsidRPr="000F2B94">
        <w:rPr>
          <w:rFonts w:asciiTheme="minorHAnsi" w:eastAsia="Avenir" w:hAnsiTheme="minorHAnsi" w:cstheme="minorHAnsi"/>
        </w:rPr>
        <w:t>.</w:t>
      </w:r>
    </w:p>
    <w:p w14:paraId="3DC1A52F" w14:textId="77777777" w:rsidR="00AF458D" w:rsidRPr="000F2B94" w:rsidRDefault="00AF458D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2DA1CB69" w14:textId="78737A0B" w:rsidR="00C405FD" w:rsidRPr="000F2B94" w:rsidRDefault="00024E78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  <w:r w:rsidRPr="000F2B94">
        <w:rPr>
          <w:rFonts w:asciiTheme="minorHAnsi" w:eastAsia="Avenir" w:hAnsiTheme="minorHAnsi" w:cstheme="minorHAnsi"/>
          <w:b/>
          <w:color w:val="000000"/>
        </w:rPr>
        <w:t>New Biological Use Authorization</w:t>
      </w:r>
      <w:r w:rsidR="00AF458D" w:rsidRPr="000F2B94">
        <w:rPr>
          <w:rFonts w:asciiTheme="minorHAnsi" w:eastAsia="Avenir" w:hAnsiTheme="minorHAnsi" w:cstheme="minorHAnsi"/>
          <w:b/>
          <w:color w:val="000000"/>
        </w:rPr>
        <w:t>s</w:t>
      </w:r>
    </w:p>
    <w:p w14:paraId="6A728911" w14:textId="04FDA5F5" w:rsidR="00C405FD" w:rsidRPr="000F2B94" w:rsidRDefault="00C405FD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>BUA 2025-1</w:t>
      </w:r>
      <w:r w:rsidR="00AF458D" w:rsidRPr="000F2B94">
        <w:rPr>
          <w:rFonts w:asciiTheme="minorHAnsi" w:hAnsiTheme="minorHAnsi" w:cstheme="minorHAnsi"/>
        </w:rPr>
        <w:t>7</w:t>
      </w:r>
      <w:r w:rsidRPr="000F2B94">
        <w:rPr>
          <w:rFonts w:asciiTheme="minorHAnsi" w:hAnsiTheme="minorHAnsi" w:cstheme="minorHAnsi"/>
        </w:rPr>
        <w:t>, “</w:t>
      </w:r>
      <w:r w:rsidR="00AF458D" w:rsidRPr="000F2B94">
        <w:rPr>
          <w:rFonts w:asciiTheme="minorHAnsi" w:hAnsiTheme="minorHAnsi" w:cstheme="minorHAnsi"/>
        </w:rPr>
        <w:t>Bacterial Effector Fusion Protein Based Immunotherapy</w:t>
      </w:r>
      <w:r w:rsidRPr="000F2B94">
        <w:rPr>
          <w:rFonts w:asciiTheme="minorHAnsi" w:hAnsiTheme="minorHAnsi" w:cstheme="minorHAnsi"/>
        </w:rPr>
        <w:t xml:space="preserve">” </w:t>
      </w:r>
    </w:p>
    <w:p w14:paraId="14E1D0F2" w14:textId="0251EBC2" w:rsidR="00A02A29" w:rsidRPr="000F2B94" w:rsidRDefault="000E1151" w:rsidP="000F2B94">
      <w:pPr>
        <w:widowControl w:val="0"/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>Investigators will</w:t>
      </w:r>
      <w:r w:rsidR="00611DAE" w:rsidRPr="000F2B94">
        <w:rPr>
          <w:rFonts w:asciiTheme="minorHAnsi" w:hAnsiTheme="minorHAnsi" w:cstheme="minorHAnsi"/>
        </w:rPr>
        <w:t xml:space="preserve"> purify a recombinant fusion protein </w:t>
      </w:r>
      <w:r w:rsidR="006E45DC">
        <w:rPr>
          <w:rFonts w:asciiTheme="minorHAnsi" w:hAnsiTheme="minorHAnsi" w:cstheme="minorHAnsi"/>
        </w:rPr>
        <w:t xml:space="preserve">comprised </w:t>
      </w:r>
      <w:r w:rsidR="00611DAE" w:rsidRPr="000F2B94">
        <w:rPr>
          <w:rFonts w:asciiTheme="minorHAnsi" w:hAnsiTheme="minorHAnsi" w:cstheme="minorHAnsi"/>
        </w:rPr>
        <w:t xml:space="preserve">of effectors from </w:t>
      </w:r>
      <w:r w:rsidR="00611DAE" w:rsidRPr="000F2B94">
        <w:rPr>
          <w:rFonts w:asciiTheme="minorHAnsi" w:hAnsiTheme="minorHAnsi" w:cstheme="minorHAnsi"/>
          <w:i/>
          <w:iCs/>
        </w:rPr>
        <w:t xml:space="preserve">Clostridium botulinum </w:t>
      </w:r>
      <w:r w:rsidR="00611DAE" w:rsidRPr="000F2B94">
        <w:rPr>
          <w:rFonts w:asciiTheme="minorHAnsi" w:hAnsiTheme="minorHAnsi" w:cstheme="minorHAnsi"/>
        </w:rPr>
        <w:t xml:space="preserve">and </w:t>
      </w:r>
      <w:r w:rsidR="00611DAE" w:rsidRPr="000F2B94">
        <w:rPr>
          <w:rFonts w:asciiTheme="minorHAnsi" w:hAnsiTheme="minorHAnsi" w:cstheme="minorHAnsi"/>
          <w:i/>
          <w:iCs/>
        </w:rPr>
        <w:t>Salmonella Typhimurium</w:t>
      </w:r>
      <w:r w:rsidR="006E45DC">
        <w:rPr>
          <w:rFonts w:asciiTheme="minorHAnsi" w:hAnsiTheme="minorHAnsi" w:cstheme="minorHAnsi"/>
        </w:rPr>
        <w:t>,</w:t>
      </w:r>
      <w:r w:rsidR="00611DAE" w:rsidRPr="000F2B94">
        <w:rPr>
          <w:rFonts w:asciiTheme="minorHAnsi" w:hAnsiTheme="minorHAnsi" w:cstheme="minorHAnsi"/>
        </w:rPr>
        <w:t xml:space="preserve"> </w:t>
      </w:r>
      <w:r w:rsidRPr="000F2B94">
        <w:rPr>
          <w:rFonts w:asciiTheme="minorHAnsi" w:hAnsiTheme="minorHAnsi" w:cstheme="minorHAnsi"/>
        </w:rPr>
        <w:t xml:space="preserve">and assay </w:t>
      </w:r>
      <w:r w:rsidR="006E45DC">
        <w:rPr>
          <w:rFonts w:asciiTheme="minorHAnsi" w:hAnsiTheme="minorHAnsi" w:cstheme="minorHAnsi"/>
        </w:rPr>
        <w:t xml:space="preserve">the </w:t>
      </w:r>
      <w:r w:rsidRPr="000F2B94">
        <w:rPr>
          <w:rFonts w:asciiTheme="minorHAnsi" w:hAnsiTheme="minorHAnsi" w:cstheme="minorHAnsi"/>
        </w:rPr>
        <w:t>fusion protein</w:t>
      </w:r>
      <w:r w:rsidR="006E45DC">
        <w:rPr>
          <w:rFonts w:asciiTheme="minorHAnsi" w:hAnsiTheme="minorHAnsi" w:cstheme="minorHAnsi"/>
        </w:rPr>
        <w:t>’s</w:t>
      </w:r>
      <w:r w:rsidRPr="000F2B94">
        <w:rPr>
          <w:rFonts w:asciiTheme="minorHAnsi" w:hAnsiTheme="minorHAnsi" w:cstheme="minorHAnsi"/>
        </w:rPr>
        <w:t xml:space="preserve"> effect on the ability of macrophages to clear antibody-opsonized cancer cells. </w:t>
      </w:r>
      <w:r w:rsidRPr="000F2B94">
        <w:rPr>
          <w:rFonts w:asciiTheme="minorHAnsi" w:eastAsia="Times New Roman" w:hAnsiTheme="minorHAnsi" w:cstheme="minorHAnsi"/>
          <w:color w:val="000000"/>
        </w:rPr>
        <w:t xml:space="preserve">The Committee required minor modifications to the description of tissue culture facilities. </w:t>
      </w:r>
      <w:r w:rsidRPr="000F2B94">
        <w:rPr>
          <w:rFonts w:asciiTheme="minorHAnsi" w:hAnsiTheme="minorHAnsi" w:cstheme="minorHAnsi"/>
        </w:rPr>
        <w:br/>
      </w:r>
      <w:r w:rsidR="00CA051E" w:rsidRPr="000F2B94">
        <w:rPr>
          <w:rFonts w:asciiTheme="minorHAnsi" w:hAnsiTheme="minorHAnsi" w:cstheme="minorHAnsi"/>
          <w:color w:val="000000" w:themeColor="text1"/>
        </w:rPr>
        <w:t>Training on Biosafety Fundamentals is required once, and training on the Cal/OSHA Bloodborne Pathogens and Aerosol Transmissible Disease Standards is required annually.</w:t>
      </w:r>
      <w:r w:rsidRPr="000F2B94">
        <w:rPr>
          <w:rFonts w:asciiTheme="minorHAnsi" w:hAnsiTheme="minorHAnsi" w:cstheme="minorHAnsi"/>
        </w:rPr>
        <w:br/>
      </w:r>
      <w:r w:rsidR="00CA051E" w:rsidRPr="000F2B94">
        <w:rPr>
          <w:rFonts w:asciiTheme="minorHAnsi" w:hAnsiTheme="minorHAnsi" w:cstheme="minorHAnsi"/>
          <w:color w:val="000000" w:themeColor="text1"/>
        </w:rPr>
        <w:t xml:space="preserve">This work is covered by NIH Guidelines category D2. </w:t>
      </w:r>
      <w:r w:rsidR="001D2C40" w:rsidRPr="000F2B94">
        <w:rPr>
          <w:rFonts w:asciiTheme="minorHAnsi" w:hAnsiTheme="minorHAnsi" w:cstheme="minorHAnsi"/>
          <w:color w:val="000000" w:themeColor="text1"/>
        </w:rPr>
        <w:t>The containment level of this work is Biosafety Level 2.</w:t>
      </w:r>
      <w:r w:rsidR="00611DAE" w:rsidRPr="000F2B94">
        <w:rPr>
          <w:rFonts w:asciiTheme="minorHAnsi" w:hAnsiTheme="minorHAnsi" w:cstheme="minorHAnsi"/>
          <w:color w:val="000000" w:themeColor="text1"/>
        </w:rPr>
        <w:t xml:space="preserve"> The Committee voted to approve 2025-17.</w:t>
      </w:r>
    </w:p>
    <w:p w14:paraId="0FD008F3" w14:textId="77777777" w:rsidR="00A02A29" w:rsidRPr="000F2B94" w:rsidRDefault="00A02A29" w:rsidP="000F2B94">
      <w:pPr>
        <w:widowControl w:val="0"/>
        <w:rPr>
          <w:rFonts w:asciiTheme="minorHAnsi" w:hAnsiTheme="minorHAnsi" w:cstheme="minorHAnsi"/>
        </w:rPr>
      </w:pPr>
    </w:p>
    <w:p w14:paraId="183BFA64" w14:textId="55675306" w:rsidR="002533F0" w:rsidRPr="000F2B94" w:rsidRDefault="00AF458D" w:rsidP="000F2B94">
      <w:pPr>
        <w:widowControl w:val="0"/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 xml:space="preserve">BUA 2025-18, “Molecular and Cellular Mechanisms of Allorecognition in </w:t>
      </w:r>
      <w:r w:rsidRPr="000F2B94">
        <w:rPr>
          <w:rFonts w:asciiTheme="minorHAnsi" w:hAnsiTheme="minorHAnsi" w:cstheme="minorHAnsi"/>
          <w:i/>
          <w:iCs/>
        </w:rPr>
        <w:t xml:space="preserve">Botryllus </w:t>
      </w:r>
      <w:proofErr w:type="spellStart"/>
      <w:r w:rsidRPr="000F2B94">
        <w:rPr>
          <w:rFonts w:asciiTheme="minorHAnsi" w:hAnsiTheme="minorHAnsi" w:cstheme="minorHAnsi"/>
          <w:i/>
          <w:iCs/>
        </w:rPr>
        <w:t>schlosseri</w:t>
      </w:r>
      <w:proofErr w:type="spellEnd"/>
      <w:r w:rsidRPr="000F2B94">
        <w:rPr>
          <w:rFonts w:asciiTheme="minorHAnsi" w:hAnsiTheme="minorHAnsi" w:cstheme="minorHAnsi"/>
        </w:rPr>
        <w:t>”</w:t>
      </w:r>
      <w:r w:rsidR="00A02A29" w:rsidRPr="000F2B94">
        <w:rPr>
          <w:rFonts w:asciiTheme="minorHAnsi" w:hAnsiTheme="minorHAnsi" w:cstheme="minorHAnsi"/>
        </w:rPr>
        <w:br/>
      </w:r>
      <w:r w:rsidR="002533F0" w:rsidRPr="000F2B94">
        <w:rPr>
          <w:rFonts w:asciiTheme="minorHAnsi" w:eastAsia="Times New Roman" w:hAnsiTheme="minorHAnsi" w:cstheme="minorHAnsi"/>
          <w:color w:val="000000"/>
        </w:rPr>
        <w:t>The Committee tabled its vote pending additional information. </w:t>
      </w:r>
    </w:p>
    <w:p w14:paraId="6B804224" w14:textId="77777777" w:rsidR="00A02A29" w:rsidRPr="000F2B94" w:rsidRDefault="00A02A29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Avenir" w:hAnsiTheme="minorHAnsi" w:cstheme="minorHAnsi"/>
          <w:b/>
          <w:color w:val="000000"/>
        </w:rPr>
      </w:pPr>
    </w:p>
    <w:p w14:paraId="743F7976" w14:textId="11B518AC" w:rsidR="00AF458D" w:rsidRPr="000F2B94" w:rsidRDefault="00AF458D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  <w:r w:rsidRPr="000F2B94">
        <w:rPr>
          <w:rFonts w:asciiTheme="minorHAnsi" w:eastAsia="Avenir" w:hAnsiTheme="minorHAnsi" w:cstheme="minorHAnsi"/>
          <w:b/>
          <w:color w:val="000000"/>
        </w:rPr>
        <w:t>Biological Use Authorization Renewals</w:t>
      </w:r>
    </w:p>
    <w:p w14:paraId="7AB2645A" w14:textId="72D22EB3" w:rsidR="00AF458D" w:rsidRPr="000F2B94" w:rsidRDefault="00AF458D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 xml:space="preserve">BUA 2025-19, “Biomarker Enzyme-Immunoassay Research” </w:t>
      </w:r>
    </w:p>
    <w:p w14:paraId="7DEE2EFD" w14:textId="34430A7B" w:rsidR="00960C57" w:rsidRPr="000F2B94" w:rsidRDefault="00960C57" w:rsidP="000F2B94">
      <w:pPr>
        <w:rPr>
          <w:rFonts w:asciiTheme="minorHAnsi" w:eastAsia="Times New Roman" w:hAnsiTheme="minorHAnsi" w:cstheme="minorHAnsi"/>
          <w:color w:val="000000"/>
        </w:rPr>
      </w:pPr>
      <w:r w:rsidRPr="000F2B94">
        <w:rPr>
          <w:rFonts w:asciiTheme="minorHAnsi" w:eastAsia="Times New Roman" w:hAnsiTheme="minorHAnsi" w:cstheme="minorHAnsi"/>
          <w:color w:val="000000"/>
        </w:rPr>
        <w:t xml:space="preserve">The </w:t>
      </w:r>
      <w:r w:rsidR="002533F0" w:rsidRPr="000F2B94">
        <w:rPr>
          <w:rFonts w:asciiTheme="minorHAnsi" w:eastAsia="Times New Roman" w:hAnsiTheme="minorHAnsi" w:cstheme="minorHAnsi"/>
          <w:color w:val="000000"/>
        </w:rPr>
        <w:t>Committee</w:t>
      </w:r>
      <w:r w:rsidRPr="000F2B94">
        <w:rPr>
          <w:rFonts w:asciiTheme="minorHAnsi" w:eastAsia="Times New Roman" w:hAnsiTheme="minorHAnsi" w:cstheme="minorHAnsi"/>
          <w:color w:val="000000"/>
        </w:rPr>
        <w:t xml:space="preserve"> tabled </w:t>
      </w:r>
      <w:r w:rsidR="002533F0" w:rsidRPr="000F2B94">
        <w:rPr>
          <w:rFonts w:asciiTheme="minorHAnsi" w:eastAsia="Times New Roman" w:hAnsiTheme="minorHAnsi" w:cstheme="minorHAnsi"/>
          <w:color w:val="000000"/>
        </w:rPr>
        <w:t>its</w:t>
      </w:r>
      <w:r w:rsidRPr="000F2B94">
        <w:rPr>
          <w:rFonts w:asciiTheme="minorHAnsi" w:eastAsia="Times New Roman" w:hAnsiTheme="minorHAnsi" w:cstheme="minorHAnsi"/>
          <w:color w:val="000000"/>
        </w:rPr>
        <w:t xml:space="preserve"> vote pending additional information. </w:t>
      </w:r>
    </w:p>
    <w:p w14:paraId="2599AD1E" w14:textId="77777777" w:rsidR="001D2C40" w:rsidRPr="000F2B94" w:rsidRDefault="001D2C40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5FAFACC9" w14:textId="04568A0F" w:rsidR="00AF458D" w:rsidRPr="000F2B94" w:rsidRDefault="00AF458D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 xml:space="preserve">BUA 2025-20, “Mother-Infant Health Study” </w:t>
      </w:r>
    </w:p>
    <w:p w14:paraId="1FAFDA7A" w14:textId="3DEAB754" w:rsidR="00154593" w:rsidRPr="000F2B94" w:rsidRDefault="00C03820" w:rsidP="000F2B94">
      <w:pPr>
        <w:shd w:val="clear" w:color="auto" w:fill="FFFFFF"/>
        <w:rPr>
          <w:rFonts w:asciiTheme="minorHAnsi" w:eastAsia="Times New Roman" w:hAnsiTheme="minorHAnsi" w:cstheme="minorHAnsi"/>
          <w:color w:val="000000"/>
        </w:rPr>
      </w:pPr>
      <w:r w:rsidRPr="000F2B94">
        <w:rPr>
          <w:rFonts w:asciiTheme="minorHAnsi" w:hAnsiTheme="minorHAnsi" w:cstheme="minorHAnsi"/>
        </w:rPr>
        <w:t xml:space="preserve">Investigators </w:t>
      </w:r>
      <w:r w:rsidR="003A7412" w:rsidRPr="000F2B94">
        <w:rPr>
          <w:rFonts w:asciiTheme="minorHAnsi" w:hAnsiTheme="minorHAnsi" w:cstheme="minorHAnsi"/>
        </w:rPr>
        <w:t xml:space="preserve">analyze </w:t>
      </w:r>
      <w:r w:rsidR="00981A81" w:rsidRPr="000F2B94">
        <w:rPr>
          <w:rFonts w:asciiTheme="minorHAnsi" w:hAnsiTheme="minorHAnsi" w:cstheme="minorHAnsi"/>
        </w:rPr>
        <w:t>markers</w:t>
      </w:r>
      <w:r w:rsidR="003A7412" w:rsidRPr="000F2B94">
        <w:rPr>
          <w:rFonts w:asciiTheme="minorHAnsi" w:hAnsiTheme="minorHAnsi" w:cstheme="minorHAnsi"/>
        </w:rPr>
        <w:t xml:space="preserve"> of</w:t>
      </w:r>
      <w:r w:rsidR="00981A81" w:rsidRPr="000F2B94">
        <w:rPr>
          <w:rFonts w:asciiTheme="minorHAnsi" w:hAnsiTheme="minorHAnsi" w:cstheme="minorHAnsi"/>
        </w:rPr>
        <w:t xml:space="preserve"> </w:t>
      </w:r>
      <w:r w:rsidR="003A7412" w:rsidRPr="000F2B94">
        <w:rPr>
          <w:rFonts w:asciiTheme="minorHAnsi" w:hAnsiTheme="minorHAnsi" w:cstheme="minorHAnsi"/>
        </w:rPr>
        <w:t xml:space="preserve">immune activation, health complications, and micro chimerism </w:t>
      </w:r>
      <w:r w:rsidR="00E82491" w:rsidRPr="000F2B94">
        <w:rPr>
          <w:rFonts w:asciiTheme="minorHAnsi" w:hAnsiTheme="minorHAnsi" w:cstheme="minorHAnsi"/>
        </w:rPr>
        <w:t>using</w:t>
      </w:r>
      <w:r w:rsidR="003A7412" w:rsidRPr="000F2B94">
        <w:rPr>
          <w:rFonts w:asciiTheme="minorHAnsi" w:hAnsiTheme="minorHAnsi" w:cstheme="minorHAnsi"/>
        </w:rPr>
        <w:t xml:space="preserve"> prenatal </w:t>
      </w:r>
      <w:r w:rsidR="00252D9B" w:rsidRPr="000F2B94">
        <w:rPr>
          <w:rFonts w:asciiTheme="minorHAnsi" w:hAnsiTheme="minorHAnsi" w:cstheme="minorHAnsi"/>
        </w:rPr>
        <w:t>blood</w:t>
      </w:r>
      <w:r w:rsidR="00981A81" w:rsidRPr="000F2B94">
        <w:rPr>
          <w:rFonts w:asciiTheme="minorHAnsi" w:hAnsiTheme="minorHAnsi" w:cstheme="minorHAnsi"/>
        </w:rPr>
        <w:t xml:space="preserve"> and infant</w:t>
      </w:r>
      <w:r w:rsidR="003A7412" w:rsidRPr="000F2B94">
        <w:rPr>
          <w:rFonts w:asciiTheme="minorHAnsi" w:hAnsiTheme="minorHAnsi" w:cstheme="minorHAnsi"/>
        </w:rPr>
        <w:t xml:space="preserve"> health measurement</w:t>
      </w:r>
      <w:r w:rsidR="00981A81" w:rsidRPr="000F2B94">
        <w:rPr>
          <w:rFonts w:asciiTheme="minorHAnsi" w:hAnsiTheme="minorHAnsi" w:cstheme="minorHAnsi"/>
        </w:rPr>
        <w:t xml:space="preserve">s. </w:t>
      </w:r>
      <w:r w:rsidR="00154593" w:rsidRPr="000F2B94">
        <w:rPr>
          <w:rFonts w:asciiTheme="minorHAnsi" w:eastAsia="Times New Roman" w:hAnsiTheme="minorHAnsi" w:cstheme="minorHAnsi"/>
          <w:color w:val="000000"/>
        </w:rPr>
        <w:t xml:space="preserve">The Committee </w:t>
      </w:r>
      <w:r w:rsidR="005F5A54" w:rsidRPr="000F2B94">
        <w:rPr>
          <w:rFonts w:asciiTheme="minorHAnsi" w:eastAsia="Times New Roman" w:hAnsiTheme="minorHAnsi" w:cstheme="minorHAnsi"/>
          <w:color w:val="000000"/>
        </w:rPr>
        <w:t>require</w:t>
      </w:r>
      <w:r w:rsidR="006E45DC">
        <w:rPr>
          <w:rFonts w:asciiTheme="minorHAnsi" w:eastAsia="Times New Roman" w:hAnsiTheme="minorHAnsi" w:cstheme="minorHAnsi"/>
          <w:color w:val="000000"/>
        </w:rPr>
        <w:t>d revisions</w:t>
      </w:r>
      <w:r w:rsidR="005F5A54" w:rsidRPr="000F2B94">
        <w:rPr>
          <w:rFonts w:asciiTheme="minorHAnsi" w:eastAsia="Times New Roman" w:hAnsiTheme="minorHAnsi" w:cstheme="minorHAnsi"/>
          <w:color w:val="000000"/>
        </w:rPr>
        <w:t xml:space="preserve"> to </w:t>
      </w:r>
      <w:r w:rsidR="00154593" w:rsidRPr="000F2B94">
        <w:rPr>
          <w:rFonts w:asciiTheme="minorHAnsi" w:eastAsia="Times New Roman" w:hAnsiTheme="minorHAnsi" w:cstheme="minorHAnsi"/>
          <w:color w:val="000000"/>
        </w:rPr>
        <w:t>further delineate which steps are done in the biosafety cabinet and which are not</w:t>
      </w:r>
      <w:r w:rsidR="005F5A54" w:rsidRPr="000F2B94">
        <w:rPr>
          <w:rFonts w:asciiTheme="minorHAnsi" w:eastAsia="Times New Roman" w:hAnsiTheme="minorHAnsi" w:cstheme="minorHAnsi"/>
          <w:color w:val="000000"/>
        </w:rPr>
        <w:t xml:space="preserve">, and </w:t>
      </w:r>
      <w:r w:rsidR="00154593" w:rsidRPr="000F2B94">
        <w:rPr>
          <w:rFonts w:asciiTheme="minorHAnsi" w:eastAsia="Times New Roman" w:hAnsiTheme="minorHAnsi" w:cstheme="minorHAnsi"/>
          <w:color w:val="000000"/>
        </w:rPr>
        <w:t xml:space="preserve">to </w:t>
      </w:r>
      <w:r w:rsidR="006E45DC">
        <w:rPr>
          <w:rFonts w:asciiTheme="minorHAnsi" w:eastAsia="Times New Roman" w:hAnsiTheme="minorHAnsi" w:cstheme="minorHAnsi"/>
          <w:color w:val="000000"/>
        </w:rPr>
        <w:t>specify</w:t>
      </w:r>
      <w:r w:rsidR="00154593" w:rsidRPr="000F2B94">
        <w:rPr>
          <w:rFonts w:asciiTheme="minorHAnsi" w:eastAsia="Times New Roman" w:hAnsiTheme="minorHAnsi" w:cstheme="minorHAnsi"/>
          <w:color w:val="000000"/>
        </w:rPr>
        <w:t xml:space="preserve"> some of the </w:t>
      </w:r>
      <w:r w:rsidR="006E45DC">
        <w:rPr>
          <w:rFonts w:asciiTheme="minorHAnsi" w:eastAsia="Times New Roman" w:hAnsiTheme="minorHAnsi" w:cstheme="minorHAnsi"/>
          <w:color w:val="000000"/>
        </w:rPr>
        <w:t xml:space="preserve">more common </w:t>
      </w:r>
      <w:r w:rsidR="00154593" w:rsidRPr="000F2B94">
        <w:rPr>
          <w:rFonts w:asciiTheme="minorHAnsi" w:eastAsia="Times New Roman" w:hAnsiTheme="minorHAnsi" w:cstheme="minorHAnsi"/>
          <w:color w:val="000000"/>
        </w:rPr>
        <w:t>bloodborne pathogens that may be present</w:t>
      </w:r>
      <w:r w:rsidR="005F5A54" w:rsidRPr="000F2B94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21D81734" w14:textId="6C5ABAEA" w:rsidR="001D2C40" w:rsidRPr="000F2B94" w:rsidRDefault="001D2C40" w:rsidP="000F2B94">
      <w:pP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>Training on Biosafety Fundamentals is required once, and training on the Cal/OSHA Bloodborne Pathogens Standard is required annually.</w:t>
      </w:r>
    </w:p>
    <w:p w14:paraId="79FED997" w14:textId="4A7B8A9E" w:rsidR="001D2C40" w:rsidRPr="000F2B94" w:rsidRDefault="001D2C40" w:rsidP="000F2B94">
      <w:pPr>
        <w:rPr>
          <w:rFonts w:asciiTheme="minorHAnsi" w:hAnsiTheme="minorHAnsi" w:cstheme="minorHAnsi"/>
          <w:color w:val="000000" w:themeColor="text1"/>
        </w:rPr>
      </w:pPr>
      <w:r w:rsidRPr="000F2B94">
        <w:rPr>
          <w:rFonts w:asciiTheme="minorHAnsi" w:hAnsiTheme="minorHAnsi" w:cstheme="minorHAnsi"/>
        </w:rPr>
        <w:t xml:space="preserve">This work is not covered by the NIH Guidelines. </w:t>
      </w:r>
      <w:r w:rsidRPr="000F2B94">
        <w:rPr>
          <w:rFonts w:asciiTheme="minorHAnsi" w:hAnsiTheme="minorHAnsi" w:cstheme="minorHAnsi"/>
          <w:color w:val="000000" w:themeColor="text1"/>
        </w:rPr>
        <w:t>The containment level of this work is Biosafety Level 2.</w:t>
      </w:r>
      <w:r w:rsidR="005F5A54" w:rsidRPr="000F2B94">
        <w:rPr>
          <w:rFonts w:asciiTheme="minorHAnsi" w:hAnsiTheme="minorHAnsi" w:cstheme="minorHAnsi"/>
          <w:color w:val="000000" w:themeColor="text1"/>
        </w:rPr>
        <w:t xml:space="preserve"> The Committee voted to approve 2025-20 pending additional information. </w:t>
      </w:r>
    </w:p>
    <w:p w14:paraId="18AF8D9A" w14:textId="7087DFD0" w:rsidR="001D2C40" w:rsidRDefault="001D2C40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27A227A6" w14:textId="77777777" w:rsidR="006E45DC" w:rsidRPr="000F2B94" w:rsidRDefault="006E45DC" w:rsidP="000F2B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274B4DC8" w14:textId="7CCCAD26" w:rsidR="0064665C" w:rsidRPr="00DF0AF0" w:rsidRDefault="00AF458D" w:rsidP="006E45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lastRenderedPageBreak/>
        <w:t xml:space="preserve">BUA 2025-21, “Investigation of Tau Spread in Central Nervous System Models” </w:t>
      </w:r>
      <w:r w:rsidR="006E45DC">
        <w:rPr>
          <w:rFonts w:asciiTheme="minorHAnsi" w:hAnsiTheme="minorHAnsi" w:cstheme="minorHAnsi"/>
        </w:rPr>
        <w:br/>
      </w:r>
      <w:r w:rsidR="00A94A90" w:rsidRPr="000F2B94">
        <w:rPr>
          <w:rFonts w:asciiTheme="minorHAnsi" w:hAnsiTheme="minorHAnsi" w:cstheme="minorHAnsi"/>
        </w:rPr>
        <w:t>Investigators analyze the effect of tau alleles on its cellular uptake and aggregation</w:t>
      </w:r>
      <w:r w:rsidR="003044C8" w:rsidRPr="000F2B94">
        <w:rPr>
          <w:rFonts w:asciiTheme="minorHAnsi" w:hAnsiTheme="minorHAnsi" w:cstheme="minorHAnsi"/>
        </w:rPr>
        <w:t xml:space="preserve"> using experimental models with</w:t>
      </w:r>
      <w:r w:rsidR="000F2B94" w:rsidRPr="000F2B94">
        <w:rPr>
          <w:rFonts w:asciiTheme="minorHAnsi" w:hAnsiTheme="minorHAnsi" w:cstheme="minorHAnsi"/>
        </w:rPr>
        <w:t xml:space="preserve"> </w:t>
      </w:r>
      <w:r w:rsidR="003044C8" w:rsidRPr="000F2B94">
        <w:rPr>
          <w:rFonts w:asciiTheme="minorHAnsi" w:hAnsiTheme="minorHAnsi" w:cstheme="minorHAnsi"/>
        </w:rPr>
        <w:t xml:space="preserve">AAV </w:t>
      </w:r>
      <w:r w:rsidR="003044C8" w:rsidRPr="000F2B94">
        <w:rPr>
          <w:rFonts w:asciiTheme="minorHAnsi" w:hAnsiTheme="minorHAnsi" w:cstheme="minorHAnsi"/>
          <w:color w:val="000000"/>
        </w:rPr>
        <w:t>vectors</w:t>
      </w:r>
      <w:r w:rsidR="000F2B94" w:rsidRPr="000F2B94">
        <w:rPr>
          <w:rFonts w:asciiTheme="minorHAnsi" w:hAnsiTheme="minorHAnsi" w:cstheme="minorHAnsi"/>
          <w:color w:val="000000"/>
        </w:rPr>
        <w:t xml:space="preserve"> expressing genes to visualize neuronal activity</w:t>
      </w:r>
      <w:r w:rsidR="000F2B94">
        <w:rPr>
          <w:rFonts w:asciiTheme="minorHAnsi" w:hAnsiTheme="minorHAnsi" w:cstheme="minorHAnsi"/>
          <w:color w:val="000000"/>
        </w:rPr>
        <w:t>, AAV vectors expressing</w:t>
      </w:r>
      <w:r w:rsidR="000F2B94" w:rsidRPr="000F2B94">
        <w:rPr>
          <w:rFonts w:asciiTheme="minorHAnsi" w:hAnsiTheme="minorHAnsi" w:cstheme="minorHAnsi"/>
          <w:color w:val="000000"/>
        </w:rPr>
        <w:t xml:space="preserve"> genes implicated in proteostasis and tau propagation, </w:t>
      </w:r>
      <w:r w:rsidR="000F2B94">
        <w:rPr>
          <w:rFonts w:asciiTheme="minorHAnsi" w:hAnsiTheme="minorHAnsi" w:cstheme="minorHAnsi"/>
          <w:color w:val="000000"/>
        </w:rPr>
        <w:t>and</w:t>
      </w:r>
      <w:r w:rsidR="000F2B94" w:rsidRPr="000F2B94">
        <w:rPr>
          <w:rFonts w:asciiTheme="minorHAnsi" w:hAnsiTheme="minorHAnsi" w:cstheme="minorHAnsi"/>
          <w:color w:val="000000"/>
        </w:rPr>
        <w:t xml:space="preserve"> </w:t>
      </w:r>
      <w:r w:rsidR="003044C8" w:rsidRPr="000F2B94">
        <w:rPr>
          <w:rFonts w:asciiTheme="minorHAnsi" w:hAnsiTheme="minorHAnsi" w:cstheme="minorHAnsi"/>
        </w:rPr>
        <w:t>human brain tissue extracts</w:t>
      </w:r>
      <w:r w:rsidR="00A94A90" w:rsidRPr="000F2B94">
        <w:rPr>
          <w:rFonts w:asciiTheme="minorHAnsi" w:hAnsiTheme="minorHAnsi" w:cstheme="minorHAnsi"/>
        </w:rPr>
        <w:t xml:space="preserve">. </w:t>
      </w:r>
      <w:r w:rsidR="000F2B94" w:rsidRPr="000F2B94">
        <w:rPr>
          <w:rFonts w:asciiTheme="minorHAnsi" w:hAnsiTheme="minorHAnsi" w:cstheme="minorHAnsi"/>
        </w:rPr>
        <w:br/>
      </w:r>
      <w:r w:rsidR="00192B5D" w:rsidRPr="000F2B94">
        <w:rPr>
          <w:rFonts w:asciiTheme="minorHAnsi" w:hAnsiTheme="minorHAnsi" w:cstheme="minorHAnsi"/>
          <w:color w:val="000000"/>
        </w:rPr>
        <w:t>The Committee discussed the v</w:t>
      </w:r>
      <w:r w:rsidR="0064665C" w:rsidRPr="000F2B94">
        <w:rPr>
          <w:rFonts w:asciiTheme="minorHAnsi" w:hAnsiTheme="minorHAnsi" w:cstheme="minorHAnsi"/>
          <w:color w:val="000000"/>
        </w:rPr>
        <w:t xml:space="preserve">olumes </w:t>
      </w:r>
      <w:r w:rsidR="000F2B94">
        <w:rPr>
          <w:rFonts w:asciiTheme="minorHAnsi" w:hAnsiTheme="minorHAnsi" w:cstheme="minorHAnsi"/>
          <w:color w:val="000000"/>
        </w:rPr>
        <w:t xml:space="preserve">involved with the various </w:t>
      </w:r>
      <w:r w:rsidR="00192B5D" w:rsidRPr="000F2B94">
        <w:rPr>
          <w:rFonts w:asciiTheme="minorHAnsi" w:hAnsiTheme="minorHAnsi" w:cstheme="minorHAnsi"/>
          <w:color w:val="000000"/>
        </w:rPr>
        <w:t>experimental model</w:t>
      </w:r>
      <w:r w:rsidR="000F2B94">
        <w:rPr>
          <w:rFonts w:asciiTheme="minorHAnsi" w:hAnsiTheme="minorHAnsi" w:cstheme="minorHAnsi"/>
          <w:color w:val="000000"/>
        </w:rPr>
        <w:t xml:space="preserve">s, and the PI revised </w:t>
      </w:r>
      <w:r w:rsidR="009B14FF">
        <w:rPr>
          <w:rFonts w:asciiTheme="minorHAnsi" w:hAnsiTheme="minorHAnsi" w:cstheme="minorHAnsi"/>
          <w:color w:val="000000"/>
        </w:rPr>
        <w:t xml:space="preserve">the BUA </w:t>
      </w:r>
      <w:r w:rsidR="004D3B58">
        <w:rPr>
          <w:rFonts w:asciiTheme="minorHAnsi" w:hAnsiTheme="minorHAnsi" w:cstheme="minorHAnsi"/>
          <w:color w:val="000000"/>
        </w:rPr>
        <w:t>t</w:t>
      </w:r>
      <w:r w:rsidR="00192B5D" w:rsidRPr="000F2B94">
        <w:rPr>
          <w:rFonts w:asciiTheme="minorHAnsi" w:hAnsiTheme="minorHAnsi" w:cstheme="minorHAnsi"/>
          <w:color w:val="000000"/>
        </w:rPr>
        <w:t xml:space="preserve">o delimit </w:t>
      </w:r>
      <w:r w:rsidR="004D3B58">
        <w:rPr>
          <w:rFonts w:asciiTheme="minorHAnsi" w:hAnsiTheme="minorHAnsi" w:cstheme="minorHAnsi"/>
          <w:color w:val="000000"/>
        </w:rPr>
        <w:t xml:space="preserve">maximum volumes for </w:t>
      </w:r>
      <w:r w:rsidR="009B14FF" w:rsidRPr="000F2B94">
        <w:rPr>
          <w:rFonts w:asciiTheme="minorHAnsi" w:hAnsiTheme="minorHAnsi" w:cstheme="minorHAnsi"/>
          <w:color w:val="000000"/>
        </w:rPr>
        <w:t xml:space="preserve">primary neuronal </w:t>
      </w:r>
      <w:r w:rsidR="009B14FF">
        <w:rPr>
          <w:rFonts w:asciiTheme="minorHAnsi" w:hAnsiTheme="minorHAnsi" w:cstheme="minorHAnsi"/>
          <w:color w:val="000000"/>
        </w:rPr>
        <w:t xml:space="preserve">tissue </w:t>
      </w:r>
      <w:r w:rsidR="009B14FF" w:rsidRPr="000F2B94">
        <w:rPr>
          <w:rFonts w:asciiTheme="minorHAnsi" w:hAnsiTheme="minorHAnsi" w:cstheme="minorHAnsi"/>
          <w:color w:val="000000"/>
        </w:rPr>
        <w:t>culture</w:t>
      </w:r>
      <w:r w:rsidR="009B14FF">
        <w:rPr>
          <w:rFonts w:asciiTheme="minorHAnsi" w:hAnsiTheme="minorHAnsi" w:cstheme="minorHAnsi"/>
          <w:color w:val="000000"/>
        </w:rPr>
        <w:t xml:space="preserve"> and experimental substance administration to </w:t>
      </w:r>
      <w:r w:rsidR="004D3B58">
        <w:rPr>
          <w:rFonts w:asciiTheme="minorHAnsi" w:hAnsiTheme="minorHAnsi" w:cstheme="minorHAnsi"/>
          <w:color w:val="000000"/>
        </w:rPr>
        <w:t>experimental model</w:t>
      </w:r>
      <w:r w:rsidR="009B14FF">
        <w:rPr>
          <w:rFonts w:asciiTheme="minorHAnsi" w:hAnsiTheme="minorHAnsi" w:cstheme="minorHAnsi"/>
          <w:color w:val="000000"/>
        </w:rPr>
        <w:t>s</w:t>
      </w:r>
      <w:r w:rsidR="0064665C" w:rsidRPr="000F2B94">
        <w:rPr>
          <w:rFonts w:asciiTheme="minorHAnsi" w:hAnsiTheme="minorHAnsi" w:cstheme="minorHAnsi"/>
          <w:color w:val="000000"/>
        </w:rPr>
        <w:t>.</w:t>
      </w:r>
      <w:r w:rsidR="00DF0AF0">
        <w:rPr>
          <w:rFonts w:asciiTheme="minorHAnsi" w:hAnsiTheme="minorHAnsi" w:cstheme="minorHAnsi"/>
        </w:rPr>
        <w:t xml:space="preserve"> </w:t>
      </w:r>
    </w:p>
    <w:p w14:paraId="06734F12" w14:textId="77777777" w:rsidR="001D2C40" w:rsidRPr="000F2B94" w:rsidRDefault="001D2C40" w:rsidP="000F2B94">
      <w:pP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>Training on Biosafety Fundamentals is required once, and training on the Cal/OSHA Bloodborne Pathogens and Aerosol Transmissible Disease Standards is required annually.</w:t>
      </w:r>
    </w:p>
    <w:p w14:paraId="10AD1220" w14:textId="5B98B364" w:rsidR="001D2C40" w:rsidRPr="000F2B94" w:rsidRDefault="001D2C40" w:rsidP="000F2B94">
      <w:pPr>
        <w:rPr>
          <w:rFonts w:asciiTheme="minorHAnsi" w:hAnsiTheme="minorHAnsi" w:cstheme="minorHAnsi"/>
        </w:rPr>
      </w:pPr>
      <w:r w:rsidRPr="000F2B94">
        <w:rPr>
          <w:rFonts w:asciiTheme="minorHAnsi" w:hAnsiTheme="minorHAnsi" w:cstheme="minorHAnsi"/>
        </w:rPr>
        <w:t xml:space="preserve">This work is covered by NIH Guidelines categories D3 and D4. </w:t>
      </w:r>
      <w:bookmarkStart w:id="1" w:name="_Hlk214885585"/>
      <w:r w:rsidR="00A02A29" w:rsidRPr="000F2B94">
        <w:rPr>
          <w:rFonts w:asciiTheme="minorHAnsi" w:hAnsiTheme="minorHAnsi" w:cstheme="minorHAnsi"/>
        </w:rPr>
        <w:t xml:space="preserve">The containment levels are </w:t>
      </w:r>
      <w:r w:rsidR="00072999">
        <w:rPr>
          <w:rFonts w:asciiTheme="minorHAnsi" w:hAnsiTheme="minorHAnsi" w:cstheme="minorHAnsi"/>
        </w:rPr>
        <w:t>BSL2</w:t>
      </w:r>
      <w:r w:rsidR="00A02A29" w:rsidRPr="000F2B94">
        <w:rPr>
          <w:rFonts w:asciiTheme="minorHAnsi" w:hAnsiTheme="minorHAnsi" w:cstheme="minorHAnsi"/>
        </w:rPr>
        <w:t xml:space="preserve">, </w:t>
      </w:r>
      <w:r w:rsidR="00072999">
        <w:rPr>
          <w:rFonts w:asciiTheme="minorHAnsi" w:hAnsiTheme="minorHAnsi" w:cstheme="minorHAnsi"/>
        </w:rPr>
        <w:t xml:space="preserve">ABSL1 </w:t>
      </w:r>
      <w:r w:rsidR="00A02A29" w:rsidRPr="000F2B94">
        <w:rPr>
          <w:rFonts w:asciiTheme="minorHAnsi" w:hAnsiTheme="minorHAnsi" w:cstheme="minorHAnsi"/>
        </w:rPr>
        <w:t xml:space="preserve">for work with AAV, and </w:t>
      </w:r>
      <w:r w:rsidR="00072999">
        <w:rPr>
          <w:rFonts w:asciiTheme="minorHAnsi" w:hAnsiTheme="minorHAnsi" w:cstheme="minorHAnsi"/>
        </w:rPr>
        <w:t>ABSL2</w:t>
      </w:r>
      <w:r w:rsidR="00A02A29" w:rsidRPr="000F2B94">
        <w:rPr>
          <w:rFonts w:asciiTheme="minorHAnsi" w:hAnsiTheme="minorHAnsi" w:cstheme="minorHAnsi"/>
        </w:rPr>
        <w:t xml:space="preserve"> for work with human brain-derived materials. </w:t>
      </w:r>
      <w:bookmarkEnd w:id="1"/>
      <w:r w:rsidR="00DF0AF0">
        <w:rPr>
          <w:rFonts w:asciiTheme="minorHAnsi" w:hAnsiTheme="minorHAnsi" w:cstheme="minorHAnsi"/>
        </w:rPr>
        <w:t xml:space="preserve">The Committee voted to review the containment practices in the associated </w:t>
      </w:r>
      <w:r w:rsidR="00DF0AF0" w:rsidRPr="000F2B94">
        <w:rPr>
          <w:rFonts w:asciiTheme="minorHAnsi" w:hAnsiTheme="minorHAnsi" w:cstheme="minorHAnsi"/>
          <w:color w:val="000000"/>
        </w:rPr>
        <w:t>Animal Facility Safety Hygiene Plan</w:t>
      </w:r>
      <w:r w:rsidR="00DF0AF0">
        <w:rPr>
          <w:rFonts w:asciiTheme="minorHAnsi" w:hAnsiTheme="minorHAnsi" w:cstheme="minorHAnsi"/>
          <w:color w:val="000000"/>
        </w:rPr>
        <w:t xml:space="preserve">. </w:t>
      </w:r>
      <w:r w:rsidR="00192B5D" w:rsidRPr="000F2B94">
        <w:rPr>
          <w:rFonts w:asciiTheme="minorHAnsi" w:hAnsiTheme="minorHAnsi" w:cstheme="minorHAnsi"/>
        </w:rPr>
        <w:t xml:space="preserve">The Committee voted to approve 2025-21 pending additional information. </w:t>
      </w:r>
    </w:p>
    <w:p w14:paraId="68044260" w14:textId="77777777" w:rsidR="001D2C40" w:rsidRPr="000F2B94" w:rsidRDefault="001D2C40" w:rsidP="000F2B9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30BE3CF" w14:textId="7DE2DE8E" w:rsidR="00322184" w:rsidRPr="000F2B94" w:rsidRDefault="00E57503" w:rsidP="000F2B94">
      <w:pPr>
        <w:rPr>
          <w:rFonts w:asciiTheme="minorHAnsi" w:eastAsia="Avenir" w:hAnsiTheme="minorHAnsi" w:cstheme="minorHAnsi"/>
          <w:b/>
          <w:bCs/>
        </w:rPr>
      </w:pPr>
      <w:r w:rsidRPr="000F2B94">
        <w:rPr>
          <w:rFonts w:asciiTheme="minorHAnsi" w:eastAsia="Avenir" w:hAnsiTheme="minorHAnsi" w:cstheme="minorHAnsi"/>
          <w:b/>
          <w:bCs/>
        </w:rPr>
        <w:t xml:space="preserve">Adjourned at </w:t>
      </w:r>
      <w:r w:rsidR="00925F78" w:rsidRPr="000F2B94">
        <w:rPr>
          <w:rFonts w:asciiTheme="minorHAnsi" w:eastAsia="Avenir" w:hAnsiTheme="minorHAnsi" w:cstheme="minorHAnsi"/>
          <w:b/>
          <w:bCs/>
        </w:rPr>
        <w:t xml:space="preserve">4:25pm. </w:t>
      </w:r>
    </w:p>
    <w:p w14:paraId="49C96D56" w14:textId="455EAA4A" w:rsidR="00C4325D" w:rsidRPr="0005773B" w:rsidRDefault="0049756D" w:rsidP="00C4325D">
      <w:pPr>
        <w:rPr>
          <w:rFonts w:ascii="Avenir LT Std 35 Light" w:eastAsia="Times New Roman" w:hAnsi="Avenir LT Std 35 Light"/>
          <w:color w:val="000000"/>
        </w:rPr>
      </w:pPr>
      <w:r w:rsidRPr="000F2B94">
        <w:rPr>
          <w:rFonts w:asciiTheme="minorHAnsi" w:eastAsia="Avenir" w:hAnsiTheme="minorHAnsi" w:cstheme="minorHAnsi"/>
        </w:rPr>
        <w:br/>
      </w:r>
      <w:r w:rsidR="00C4325D">
        <w:rPr>
          <w:rFonts w:ascii="Avenir LT Std 35 Light" w:eastAsia="Times New Roman" w:hAnsi="Avenir LT Std 35 Light"/>
          <w:color w:val="000000"/>
        </w:rPr>
        <w:t xml:space="preserve">The Committee approved these minutes at the </w:t>
      </w:r>
      <w:r w:rsidR="00C4325D">
        <w:rPr>
          <w:rFonts w:ascii="Avenir LT Std 35 Light" w:eastAsia="Times New Roman" w:hAnsi="Avenir LT Std 35 Light"/>
          <w:color w:val="000000"/>
        </w:rPr>
        <w:t>December 18</w:t>
      </w:r>
      <w:r w:rsidR="00C4325D">
        <w:rPr>
          <w:rFonts w:ascii="Avenir LT Std 35 Light" w:eastAsia="Times New Roman" w:hAnsi="Avenir LT Std 35 Light"/>
          <w:color w:val="000000"/>
        </w:rPr>
        <w:t>, 2025, IBC meeting.</w:t>
      </w:r>
    </w:p>
    <w:p w14:paraId="1C0B97F7" w14:textId="4F744599" w:rsidR="00084C5D" w:rsidRPr="000F2B94" w:rsidRDefault="00084C5D" w:rsidP="000F2B94">
      <w:pPr>
        <w:rPr>
          <w:rFonts w:asciiTheme="minorHAnsi" w:eastAsia="Times New Roman" w:hAnsiTheme="minorHAnsi" w:cstheme="minorHAnsi"/>
          <w:color w:val="000000"/>
        </w:rPr>
      </w:pPr>
    </w:p>
    <w:sectPr w:rsidR="00084C5D" w:rsidRPr="000F2B9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79C2" w14:textId="77777777" w:rsidR="004658DD" w:rsidRDefault="004658DD">
      <w:pPr>
        <w:spacing w:line="240" w:lineRule="auto"/>
      </w:pPr>
      <w:r>
        <w:separator/>
      </w:r>
    </w:p>
  </w:endnote>
  <w:endnote w:type="continuationSeparator" w:id="0">
    <w:p w14:paraId="6BC616AE" w14:textId="77777777" w:rsidR="004658DD" w:rsidRDefault="0046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roduk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90ED" w14:textId="77777777" w:rsidR="004658DD" w:rsidRDefault="004658DD">
      <w:pPr>
        <w:spacing w:line="240" w:lineRule="auto"/>
      </w:pPr>
      <w:r>
        <w:separator/>
      </w:r>
    </w:p>
  </w:footnote>
  <w:footnote w:type="continuationSeparator" w:id="0">
    <w:p w14:paraId="4C141B52" w14:textId="77777777" w:rsidR="004658DD" w:rsidRDefault="004658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C89" w14:textId="77777777" w:rsidR="004C417D" w:rsidRPr="00CA051E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sz w:val="24"/>
        <w:szCs w:val="24"/>
      </w:rPr>
    </w:pPr>
    <w:r w:rsidRPr="00CA051E">
      <w:rPr>
        <w:rFonts w:ascii="Avenir" w:eastAsia="Avenir" w:hAnsi="Avenir" w:cs="Avenir"/>
        <w:b/>
        <w:sz w:val="24"/>
        <w:szCs w:val="24"/>
      </w:rPr>
      <w:t>UCSB/Institutional Biosafety Committee</w:t>
    </w:r>
    <w:r w:rsidRPr="00CA051E">
      <w:rPr>
        <w:rFonts w:ascii="Avenir" w:eastAsia="Avenir" w:hAnsi="Avenir" w:cs="Avenir"/>
        <w:b/>
        <w:sz w:val="24"/>
        <w:szCs w:val="24"/>
      </w:rPr>
      <w:tab/>
    </w:r>
  </w:p>
  <w:p w14:paraId="4B807CBE" w14:textId="6FC22C95" w:rsidR="004C417D" w:rsidRPr="00CA051E" w:rsidRDefault="00E12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</w:rPr>
    </w:pPr>
    <w:r w:rsidRPr="00CA051E">
      <w:rPr>
        <w:rFonts w:ascii="Avenir LT Std 35 Light" w:eastAsia="Avenir" w:hAnsi="Avenir LT Std 35 Light" w:cs="Avenir"/>
      </w:rPr>
      <w:t>Monday</w:t>
    </w:r>
    <w:r w:rsidR="009A6131" w:rsidRPr="00CA051E">
      <w:rPr>
        <w:rFonts w:ascii="Avenir LT Std 35 Light" w:eastAsia="Avenir" w:hAnsi="Avenir LT Std 35 Light" w:cs="Avenir"/>
      </w:rPr>
      <w:t xml:space="preserve">, </w:t>
    </w:r>
    <w:r w:rsidR="00AF458D" w:rsidRPr="00CA051E">
      <w:rPr>
        <w:rFonts w:ascii="Avenir LT Std 35 Light" w:eastAsia="Avenir" w:hAnsi="Avenir LT Std 35 Light" w:cs="Avenir"/>
      </w:rPr>
      <w:t>November 24</w:t>
    </w:r>
    <w:r w:rsidR="009A6131" w:rsidRPr="00CA051E">
      <w:rPr>
        <w:rFonts w:ascii="Avenir LT Std 35 Light" w:eastAsia="Avenir" w:hAnsi="Avenir LT Std 35 Light" w:cs="Avenir"/>
      </w:rPr>
      <w:t>, 202</w:t>
    </w:r>
    <w:r w:rsidR="00DF6C6F" w:rsidRPr="00CA051E">
      <w:rPr>
        <w:rFonts w:ascii="Avenir LT Std 35 Light" w:eastAsia="Avenir" w:hAnsi="Avenir LT Std 35 Light" w:cs="Avenir"/>
      </w:rPr>
      <w:t>5</w:t>
    </w:r>
    <w:r w:rsidR="009A6131" w:rsidRPr="00CA051E">
      <w:rPr>
        <w:rFonts w:ascii="Avenir LT Std 35 Light" w:eastAsia="Avenir" w:hAnsi="Avenir LT Std 35 Light" w:cs="Avenir"/>
      </w:rPr>
      <w:t xml:space="preserve">, at 3 pm </w:t>
    </w:r>
    <w:r w:rsidR="00CA051E">
      <w:rPr>
        <w:rFonts w:ascii="Avenir LT Std 35 Light" w:eastAsia="Avenir" w:hAnsi="Avenir LT Std 35 Light" w:cs="Avenir"/>
      </w:rPr>
      <w:t xml:space="preserve">by video conference </w:t>
    </w:r>
  </w:p>
  <w:p w14:paraId="5215FD3D" w14:textId="77777777" w:rsidR="00CA051E" w:rsidRDefault="00CA05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</w:pPr>
  </w:p>
  <w:p w14:paraId="4CB17F98" w14:textId="4A3E4626" w:rsidR="004C417D" w:rsidRDefault="00CA05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C3"/>
    <w:multiLevelType w:val="hybridMultilevel"/>
    <w:tmpl w:val="4588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06010"/>
    <w:rsid w:val="00023F77"/>
    <w:rsid w:val="00024E78"/>
    <w:rsid w:val="0004557C"/>
    <w:rsid w:val="00052021"/>
    <w:rsid w:val="00056AEA"/>
    <w:rsid w:val="00072999"/>
    <w:rsid w:val="000734BB"/>
    <w:rsid w:val="00074169"/>
    <w:rsid w:val="00084C5D"/>
    <w:rsid w:val="000905BD"/>
    <w:rsid w:val="000C18A1"/>
    <w:rsid w:val="000D5F74"/>
    <w:rsid w:val="000E1151"/>
    <w:rsid w:val="000F2B94"/>
    <w:rsid w:val="00102E2C"/>
    <w:rsid w:val="00122285"/>
    <w:rsid w:val="00124E3D"/>
    <w:rsid w:val="00140E26"/>
    <w:rsid w:val="00146963"/>
    <w:rsid w:val="00147305"/>
    <w:rsid w:val="00154593"/>
    <w:rsid w:val="00164652"/>
    <w:rsid w:val="00180B37"/>
    <w:rsid w:val="00192B5D"/>
    <w:rsid w:val="001944DD"/>
    <w:rsid w:val="001A11FA"/>
    <w:rsid w:val="001A1DE4"/>
    <w:rsid w:val="001A5609"/>
    <w:rsid w:val="001A6842"/>
    <w:rsid w:val="001C1D0D"/>
    <w:rsid w:val="001D2C40"/>
    <w:rsid w:val="001D4E7D"/>
    <w:rsid w:val="001F3378"/>
    <w:rsid w:val="00202CCA"/>
    <w:rsid w:val="002065DC"/>
    <w:rsid w:val="00211358"/>
    <w:rsid w:val="00213F62"/>
    <w:rsid w:val="00226706"/>
    <w:rsid w:val="002310F7"/>
    <w:rsid w:val="00245988"/>
    <w:rsid w:val="00252D9B"/>
    <w:rsid w:val="002533F0"/>
    <w:rsid w:val="00257A50"/>
    <w:rsid w:val="00272CCA"/>
    <w:rsid w:val="00275699"/>
    <w:rsid w:val="00283237"/>
    <w:rsid w:val="002A1FCB"/>
    <w:rsid w:val="002A3468"/>
    <w:rsid w:val="002B0C14"/>
    <w:rsid w:val="002B1CE6"/>
    <w:rsid w:val="002B57BB"/>
    <w:rsid w:val="002D384B"/>
    <w:rsid w:val="002D6B61"/>
    <w:rsid w:val="002D712E"/>
    <w:rsid w:val="002F4089"/>
    <w:rsid w:val="002F642A"/>
    <w:rsid w:val="003044C8"/>
    <w:rsid w:val="00311218"/>
    <w:rsid w:val="00322184"/>
    <w:rsid w:val="00330D05"/>
    <w:rsid w:val="00333BB4"/>
    <w:rsid w:val="00333D64"/>
    <w:rsid w:val="003365F0"/>
    <w:rsid w:val="003612C0"/>
    <w:rsid w:val="00373DAE"/>
    <w:rsid w:val="003802FB"/>
    <w:rsid w:val="003A3C59"/>
    <w:rsid w:val="003A7412"/>
    <w:rsid w:val="003B7C47"/>
    <w:rsid w:val="003C2FB2"/>
    <w:rsid w:val="003D73A1"/>
    <w:rsid w:val="003E6B8B"/>
    <w:rsid w:val="003E7EB2"/>
    <w:rsid w:val="003F2B66"/>
    <w:rsid w:val="004113C7"/>
    <w:rsid w:val="004170A1"/>
    <w:rsid w:val="00421BC5"/>
    <w:rsid w:val="004658DD"/>
    <w:rsid w:val="00491C25"/>
    <w:rsid w:val="00494A06"/>
    <w:rsid w:val="0049756D"/>
    <w:rsid w:val="00497714"/>
    <w:rsid w:val="004A2B26"/>
    <w:rsid w:val="004B08F1"/>
    <w:rsid w:val="004B14C8"/>
    <w:rsid w:val="004B2D72"/>
    <w:rsid w:val="004C417D"/>
    <w:rsid w:val="004D3B58"/>
    <w:rsid w:val="004E18EF"/>
    <w:rsid w:val="004E4637"/>
    <w:rsid w:val="005309F8"/>
    <w:rsid w:val="00536F98"/>
    <w:rsid w:val="005415E3"/>
    <w:rsid w:val="00555F60"/>
    <w:rsid w:val="00556EEE"/>
    <w:rsid w:val="00567167"/>
    <w:rsid w:val="00583366"/>
    <w:rsid w:val="005A27FA"/>
    <w:rsid w:val="005B1962"/>
    <w:rsid w:val="005B5BF5"/>
    <w:rsid w:val="005C42AB"/>
    <w:rsid w:val="005F5A54"/>
    <w:rsid w:val="00611DAE"/>
    <w:rsid w:val="00613636"/>
    <w:rsid w:val="006266C6"/>
    <w:rsid w:val="00637D4B"/>
    <w:rsid w:val="0064665C"/>
    <w:rsid w:val="00653502"/>
    <w:rsid w:val="0067131F"/>
    <w:rsid w:val="00671F91"/>
    <w:rsid w:val="00682F6D"/>
    <w:rsid w:val="006831EE"/>
    <w:rsid w:val="006A1AF6"/>
    <w:rsid w:val="006C6E8A"/>
    <w:rsid w:val="006E45DC"/>
    <w:rsid w:val="006E4A31"/>
    <w:rsid w:val="006F196E"/>
    <w:rsid w:val="007105CD"/>
    <w:rsid w:val="00730B70"/>
    <w:rsid w:val="00753378"/>
    <w:rsid w:val="00766A7D"/>
    <w:rsid w:val="00770AD0"/>
    <w:rsid w:val="00792438"/>
    <w:rsid w:val="00792ED3"/>
    <w:rsid w:val="00795714"/>
    <w:rsid w:val="007A1D09"/>
    <w:rsid w:val="007E75C7"/>
    <w:rsid w:val="00826B89"/>
    <w:rsid w:val="00827CED"/>
    <w:rsid w:val="00830038"/>
    <w:rsid w:val="0087607C"/>
    <w:rsid w:val="008A15DA"/>
    <w:rsid w:val="008A3940"/>
    <w:rsid w:val="00900A30"/>
    <w:rsid w:val="00911DA9"/>
    <w:rsid w:val="00925F78"/>
    <w:rsid w:val="00927C5B"/>
    <w:rsid w:val="0093322E"/>
    <w:rsid w:val="00940840"/>
    <w:rsid w:val="00960C57"/>
    <w:rsid w:val="00981A81"/>
    <w:rsid w:val="009869E6"/>
    <w:rsid w:val="009A6131"/>
    <w:rsid w:val="009B14FF"/>
    <w:rsid w:val="009D40F6"/>
    <w:rsid w:val="009D5D6A"/>
    <w:rsid w:val="009F4B7E"/>
    <w:rsid w:val="009F60DF"/>
    <w:rsid w:val="00A02A29"/>
    <w:rsid w:val="00A072BB"/>
    <w:rsid w:val="00A22ADE"/>
    <w:rsid w:val="00A549B3"/>
    <w:rsid w:val="00A61B9A"/>
    <w:rsid w:val="00A67CB1"/>
    <w:rsid w:val="00A74DBA"/>
    <w:rsid w:val="00A81D9E"/>
    <w:rsid w:val="00A841C8"/>
    <w:rsid w:val="00A85854"/>
    <w:rsid w:val="00A94A90"/>
    <w:rsid w:val="00AA466B"/>
    <w:rsid w:val="00AC316A"/>
    <w:rsid w:val="00AD5D93"/>
    <w:rsid w:val="00AD68E6"/>
    <w:rsid w:val="00AF178D"/>
    <w:rsid w:val="00AF19DF"/>
    <w:rsid w:val="00AF458D"/>
    <w:rsid w:val="00B07A91"/>
    <w:rsid w:val="00B1195E"/>
    <w:rsid w:val="00B13B6A"/>
    <w:rsid w:val="00B202A9"/>
    <w:rsid w:val="00B2569A"/>
    <w:rsid w:val="00B31898"/>
    <w:rsid w:val="00B37EA8"/>
    <w:rsid w:val="00B5266B"/>
    <w:rsid w:val="00B55C74"/>
    <w:rsid w:val="00B577EB"/>
    <w:rsid w:val="00B61D80"/>
    <w:rsid w:val="00B66E4D"/>
    <w:rsid w:val="00B71D9A"/>
    <w:rsid w:val="00B9469D"/>
    <w:rsid w:val="00BD2112"/>
    <w:rsid w:val="00BE4C30"/>
    <w:rsid w:val="00BE7068"/>
    <w:rsid w:val="00BF428C"/>
    <w:rsid w:val="00C03820"/>
    <w:rsid w:val="00C058D0"/>
    <w:rsid w:val="00C403B5"/>
    <w:rsid w:val="00C405FD"/>
    <w:rsid w:val="00C4325D"/>
    <w:rsid w:val="00C47565"/>
    <w:rsid w:val="00C507B7"/>
    <w:rsid w:val="00C53FC6"/>
    <w:rsid w:val="00C55AFD"/>
    <w:rsid w:val="00C60B7E"/>
    <w:rsid w:val="00C728AA"/>
    <w:rsid w:val="00C867FF"/>
    <w:rsid w:val="00CA051E"/>
    <w:rsid w:val="00CA11CE"/>
    <w:rsid w:val="00CA6CAD"/>
    <w:rsid w:val="00CC6E1B"/>
    <w:rsid w:val="00CE33C4"/>
    <w:rsid w:val="00CF2D6D"/>
    <w:rsid w:val="00CF605C"/>
    <w:rsid w:val="00D12805"/>
    <w:rsid w:val="00D3238C"/>
    <w:rsid w:val="00D46227"/>
    <w:rsid w:val="00D47E9E"/>
    <w:rsid w:val="00D71198"/>
    <w:rsid w:val="00D819A4"/>
    <w:rsid w:val="00D8257B"/>
    <w:rsid w:val="00D85D1A"/>
    <w:rsid w:val="00D86D95"/>
    <w:rsid w:val="00D960E9"/>
    <w:rsid w:val="00DB1BE4"/>
    <w:rsid w:val="00DE37B8"/>
    <w:rsid w:val="00DE7174"/>
    <w:rsid w:val="00DF0AF0"/>
    <w:rsid w:val="00DF5860"/>
    <w:rsid w:val="00DF6C6F"/>
    <w:rsid w:val="00E00A53"/>
    <w:rsid w:val="00E00FF1"/>
    <w:rsid w:val="00E03E6A"/>
    <w:rsid w:val="00E10DFA"/>
    <w:rsid w:val="00E12D7E"/>
    <w:rsid w:val="00E30282"/>
    <w:rsid w:val="00E57503"/>
    <w:rsid w:val="00E72BE3"/>
    <w:rsid w:val="00E75856"/>
    <w:rsid w:val="00E82491"/>
    <w:rsid w:val="00E9385B"/>
    <w:rsid w:val="00EB6350"/>
    <w:rsid w:val="00ED19A8"/>
    <w:rsid w:val="00EF14A3"/>
    <w:rsid w:val="00EF1F06"/>
    <w:rsid w:val="00F0017D"/>
    <w:rsid w:val="00F008D9"/>
    <w:rsid w:val="00F23EF6"/>
    <w:rsid w:val="00F2438A"/>
    <w:rsid w:val="00F312DB"/>
    <w:rsid w:val="00F42E20"/>
    <w:rsid w:val="00F57B64"/>
    <w:rsid w:val="00F66C05"/>
    <w:rsid w:val="00FA6480"/>
    <w:rsid w:val="00FC0AB6"/>
    <w:rsid w:val="00FC5D0E"/>
    <w:rsid w:val="00FD7124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Jamie Bishop</cp:lastModifiedBy>
  <cp:revision>28</cp:revision>
  <dcterms:created xsi:type="dcterms:W3CDTF">2025-11-24T22:02:00Z</dcterms:created>
  <dcterms:modified xsi:type="dcterms:W3CDTF">2025-12-19T21:49:00Z</dcterms:modified>
</cp:coreProperties>
</file>