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C2DE" w14:textId="4ADAD9AE" w:rsidR="004C417D" w:rsidRPr="00D52AE5" w:rsidRDefault="006A3136" w:rsidP="00555F60">
      <w:pPr>
        <w:rPr>
          <w:rFonts w:ascii="Avenir LT Std 35 Light" w:eastAsia="Avenir" w:hAnsi="Avenir LT Std 35 Light" w:cstheme="minorHAnsi"/>
        </w:rPr>
      </w:pPr>
      <w:r w:rsidRPr="00D52AE5">
        <w:rPr>
          <w:rFonts w:ascii="Avenir LT Std 35 Light" w:eastAsia="Avenir" w:hAnsi="Avenir LT Std 35 Light" w:cstheme="minorHAnsi"/>
        </w:rPr>
        <w:t>Attendees</w:t>
      </w:r>
      <w:r w:rsidR="009A6131" w:rsidRPr="00D52AE5">
        <w:rPr>
          <w:rFonts w:ascii="Avenir LT Std 35 Light" w:eastAsia="Avenir" w:hAnsi="Avenir LT Std 35 Light" w:cstheme="minorHAnsi"/>
        </w:rPr>
        <w:t>:</w:t>
      </w:r>
    </w:p>
    <w:p w14:paraId="0E95605F" w14:textId="77777777" w:rsidR="004C417D" w:rsidRPr="00D52AE5" w:rsidRDefault="004C417D">
      <w:pPr>
        <w:rPr>
          <w:rFonts w:ascii="Avenir LT Std 35 Light" w:eastAsia="Avenir" w:hAnsi="Avenir LT Std 35 Light" w:cstheme="minorHAnsi"/>
        </w:rPr>
      </w:pPr>
    </w:p>
    <w:tbl>
      <w:tblPr>
        <w:tblStyle w:val="a0"/>
        <w:tblW w:w="972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4965"/>
      </w:tblGrid>
      <w:tr w:rsidR="002065DC" w:rsidRPr="00D52AE5" w14:paraId="193CB0E2" w14:textId="77777777" w:rsidTr="00CA6CAD">
        <w:trPr>
          <w:trHeight w:val="281"/>
        </w:trPr>
        <w:tc>
          <w:tcPr>
            <w:tcW w:w="4755" w:type="dxa"/>
          </w:tcPr>
          <w:p w14:paraId="139EDCF3" w14:textId="77777777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Bishop, Jamie (UCSB EHS BSO)</w:t>
            </w:r>
          </w:p>
        </w:tc>
        <w:tc>
          <w:tcPr>
            <w:tcW w:w="4965" w:type="dxa"/>
          </w:tcPr>
          <w:p w14:paraId="508F0196" w14:textId="08D9367E" w:rsidR="002065DC" w:rsidRPr="00D52AE5" w:rsidRDefault="0087378F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Lynch, Earl (Unaffiliated)</w:t>
            </w:r>
          </w:p>
        </w:tc>
      </w:tr>
      <w:tr w:rsidR="002065DC" w:rsidRPr="00D52AE5" w14:paraId="502C390B" w14:textId="77777777" w:rsidTr="00CA6CAD">
        <w:trPr>
          <w:trHeight w:val="281"/>
        </w:trPr>
        <w:tc>
          <w:tcPr>
            <w:tcW w:w="4755" w:type="dxa"/>
          </w:tcPr>
          <w:p w14:paraId="485A9C54" w14:textId="77777777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Blakemore, Melodie (UCSB OR)</w:t>
            </w:r>
          </w:p>
        </w:tc>
        <w:tc>
          <w:tcPr>
            <w:tcW w:w="4965" w:type="dxa"/>
          </w:tcPr>
          <w:p w14:paraId="572C0E44" w14:textId="780AABAB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Mahan, Michael (UCSB MCDB; Chair)</w:t>
            </w:r>
          </w:p>
        </w:tc>
      </w:tr>
      <w:tr w:rsidR="002065DC" w:rsidRPr="00D52AE5" w14:paraId="6D81E89E" w14:textId="77777777" w:rsidTr="00CA6CAD">
        <w:trPr>
          <w:trHeight w:val="281"/>
        </w:trPr>
        <w:tc>
          <w:tcPr>
            <w:tcW w:w="4755" w:type="dxa"/>
          </w:tcPr>
          <w:p w14:paraId="4B953BE1" w14:textId="77777777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Cooley, Ashley (Unaffiliated)</w:t>
            </w:r>
          </w:p>
        </w:tc>
        <w:tc>
          <w:tcPr>
            <w:tcW w:w="4965" w:type="dxa"/>
          </w:tcPr>
          <w:p w14:paraId="3726FB42" w14:textId="4C68B44F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Moretto, Alex (UCSB EHS alt. BSO; non-voting)</w:t>
            </w:r>
          </w:p>
        </w:tc>
      </w:tr>
      <w:tr w:rsidR="002065DC" w:rsidRPr="00D52AE5" w14:paraId="3E515812" w14:textId="77777777" w:rsidTr="00CA6CAD">
        <w:trPr>
          <w:trHeight w:val="281"/>
        </w:trPr>
        <w:tc>
          <w:tcPr>
            <w:tcW w:w="4755" w:type="dxa"/>
          </w:tcPr>
          <w:p w14:paraId="2BC5E6D7" w14:textId="77777777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Garcia, Manuel (UCSB ARC)</w:t>
            </w:r>
          </w:p>
        </w:tc>
        <w:tc>
          <w:tcPr>
            <w:tcW w:w="4965" w:type="dxa"/>
          </w:tcPr>
          <w:p w14:paraId="6235A03E" w14:textId="0D554C9B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D52AE5">
              <w:rPr>
                <w:rFonts w:ascii="Avenir LT Std 35 Light" w:eastAsia="Avenir" w:hAnsi="Avenir LT Std 35 Light" w:cstheme="minorHAnsi"/>
              </w:rPr>
              <w:t>Smith, Ikuko (UCSB MCDB</w:t>
            </w:r>
            <w:r w:rsidR="00EF1F06" w:rsidRPr="00D52AE5">
              <w:rPr>
                <w:rFonts w:ascii="Avenir LT Std 35 Light" w:eastAsia="Avenir" w:hAnsi="Avenir LT Std 35 Light" w:cstheme="minorHAnsi"/>
              </w:rPr>
              <w:t xml:space="preserve"> and P&amp;BS</w:t>
            </w:r>
            <w:r w:rsidRPr="00D52AE5">
              <w:rPr>
                <w:rFonts w:ascii="Avenir LT Std 35 Light" w:eastAsia="Avenir" w:hAnsi="Avenir LT Std 35 Light" w:cstheme="minorHAnsi"/>
              </w:rPr>
              <w:t>)</w:t>
            </w:r>
          </w:p>
        </w:tc>
      </w:tr>
      <w:tr w:rsidR="002065DC" w:rsidRPr="00D52AE5" w14:paraId="23399EBF" w14:textId="77777777" w:rsidTr="00CA6CAD">
        <w:trPr>
          <w:trHeight w:val="281"/>
        </w:trPr>
        <w:tc>
          <w:tcPr>
            <w:tcW w:w="4755" w:type="dxa"/>
          </w:tcPr>
          <w:p w14:paraId="51AC7372" w14:textId="7458AC5C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</w:p>
        </w:tc>
        <w:tc>
          <w:tcPr>
            <w:tcW w:w="4965" w:type="dxa"/>
          </w:tcPr>
          <w:p w14:paraId="5FD5AC23" w14:textId="7589EAB7" w:rsidR="002065DC" w:rsidRPr="00D52AE5" w:rsidRDefault="002065DC" w:rsidP="002065DC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</w:p>
        </w:tc>
      </w:tr>
    </w:tbl>
    <w:p w14:paraId="082C09D6" w14:textId="02783BFE" w:rsidR="0087378F" w:rsidRPr="00D52AE5" w:rsidRDefault="0087378F" w:rsidP="006D401A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bookmarkStart w:id="0" w:name="_heading=h.30j0zll" w:colFirst="0" w:colLast="0"/>
      <w:bookmarkEnd w:id="0"/>
      <w:r w:rsidRPr="00D52AE5">
        <w:rPr>
          <w:rFonts w:ascii="Avenir LT Std 35 Light" w:eastAsia="Avenir" w:hAnsi="Avenir LT Std 35 Light"/>
          <w:b/>
          <w:color w:val="000000"/>
        </w:rPr>
        <w:t xml:space="preserve">Called to order 3:01 pm. </w:t>
      </w:r>
    </w:p>
    <w:p w14:paraId="59A22CC1" w14:textId="77777777" w:rsidR="0087378F" w:rsidRPr="00D52AE5" w:rsidRDefault="0087378F" w:rsidP="006D401A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</w:p>
    <w:p w14:paraId="3B5102AF" w14:textId="1D48AD46" w:rsidR="004C417D" w:rsidRPr="00D52AE5" w:rsidRDefault="009A6131" w:rsidP="006D401A">
      <w:pPr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Avenir" w:hAnsi="Avenir LT Std 35 Light"/>
          <w:b/>
          <w:color w:val="000000"/>
        </w:rPr>
      </w:pPr>
      <w:r w:rsidRPr="00D52AE5">
        <w:rPr>
          <w:rFonts w:ascii="Avenir LT Std 35 Light" w:eastAsia="Avenir" w:hAnsi="Avenir LT Std 35 Light"/>
          <w:b/>
          <w:color w:val="000000"/>
        </w:rPr>
        <w:t>Approval of minutes</w:t>
      </w:r>
    </w:p>
    <w:p w14:paraId="2DE0B9A2" w14:textId="5F1144F0" w:rsidR="004C417D" w:rsidRPr="00D52AE5" w:rsidRDefault="009A6EDA" w:rsidP="006D401A">
      <w:pPr>
        <w:rPr>
          <w:rFonts w:ascii="Avenir LT Std 35 Light" w:eastAsia="Avenir" w:hAnsi="Avenir LT Std 35 Light"/>
        </w:rPr>
      </w:pPr>
      <w:r w:rsidRPr="00D52AE5">
        <w:rPr>
          <w:rFonts w:ascii="Avenir LT Std 35 Light" w:eastAsia="Avenir" w:hAnsi="Avenir LT Std 35 Light"/>
        </w:rPr>
        <w:t xml:space="preserve">The Committee approved the minutes for the </w:t>
      </w:r>
      <w:r w:rsidR="009A6131" w:rsidRPr="00D52AE5">
        <w:rPr>
          <w:rFonts w:ascii="Avenir LT Std 35 Light" w:eastAsia="Avenir" w:hAnsi="Avenir LT Std 35 Light"/>
        </w:rPr>
        <w:t xml:space="preserve">IBC meeting of </w:t>
      </w:r>
      <w:r w:rsidR="00211B7C" w:rsidRPr="00D52AE5">
        <w:rPr>
          <w:rFonts w:ascii="Avenir LT Std 35 Light" w:eastAsia="Avenir" w:hAnsi="Avenir LT Std 35 Light"/>
        </w:rPr>
        <w:t>December 18</w:t>
      </w:r>
      <w:r w:rsidR="009A6131" w:rsidRPr="00D52AE5">
        <w:rPr>
          <w:rFonts w:ascii="Avenir LT Std 35 Light" w:eastAsia="Avenir" w:hAnsi="Avenir LT Std 35 Light"/>
        </w:rPr>
        <w:t>, 202</w:t>
      </w:r>
      <w:r w:rsidR="001C1D0D" w:rsidRPr="00D52AE5">
        <w:rPr>
          <w:rFonts w:ascii="Avenir LT Std 35 Light" w:eastAsia="Avenir" w:hAnsi="Avenir LT Std 35 Light"/>
        </w:rPr>
        <w:t>5</w:t>
      </w:r>
      <w:r w:rsidRPr="00D52AE5">
        <w:rPr>
          <w:rFonts w:ascii="Avenir LT Std 35 Light" w:eastAsia="Avenir" w:hAnsi="Avenir LT Std 35 Light"/>
        </w:rPr>
        <w:t>.</w:t>
      </w:r>
      <w:r w:rsidR="009A6131" w:rsidRPr="00D52AE5">
        <w:rPr>
          <w:rFonts w:ascii="Avenir LT Std 35 Light" w:eastAsia="Avenir" w:hAnsi="Avenir LT Std 35 Light"/>
        </w:rPr>
        <w:t xml:space="preserve"> </w:t>
      </w:r>
    </w:p>
    <w:p w14:paraId="3DC1A52F" w14:textId="77777777" w:rsidR="00AF458D" w:rsidRPr="00D52AE5" w:rsidRDefault="00AF458D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</w:p>
    <w:p w14:paraId="61615EDF" w14:textId="6F8185D3" w:rsidR="00211B7C" w:rsidRPr="00D52AE5" w:rsidRDefault="00211B7C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eastAsia="Times New Roman" w:hAnsi="Avenir LT Std 35 Light"/>
          <w:color w:val="000000"/>
        </w:rPr>
      </w:pPr>
      <w:r w:rsidRPr="00D52AE5">
        <w:rPr>
          <w:rFonts w:ascii="Avenir LT Std 35 Light" w:eastAsia="Avenir" w:hAnsi="Avenir LT Std 35 Light"/>
          <w:b/>
          <w:color w:val="000000"/>
        </w:rPr>
        <w:t>Biological Use Authorization Renewals</w:t>
      </w:r>
    </w:p>
    <w:p w14:paraId="4C74D2B5" w14:textId="2F6A2CD2" w:rsidR="00AF458D" w:rsidRPr="00D52AE5" w:rsidRDefault="00AF458D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</w:rPr>
        <w:t>BUA 202</w:t>
      </w:r>
      <w:r w:rsidR="00211B7C" w:rsidRPr="00D52AE5">
        <w:rPr>
          <w:rFonts w:ascii="Avenir LT Std 35 Light" w:hAnsi="Avenir LT Std 35 Light"/>
        </w:rPr>
        <w:t>6</w:t>
      </w:r>
      <w:r w:rsidRPr="00D52AE5">
        <w:rPr>
          <w:rFonts w:ascii="Avenir LT Std 35 Light" w:hAnsi="Avenir LT Std 35 Light"/>
        </w:rPr>
        <w:t>-1, “</w:t>
      </w:r>
      <w:r w:rsidR="00211B7C" w:rsidRPr="00D52AE5">
        <w:rPr>
          <w:rFonts w:ascii="Avenir LT Std 35 Light" w:hAnsi="Avenir LT Std 35 Light"/>
        </w:rPr>
        <w:t>Engineering Materials for 3D Cell Culture</w:t>
      </w:r>
      <w:r w:rsidRPr="00D52AE5">
        <w:rPr>
          <w:rFonts w:ascii="Avenir LT Std 35 Light" w:hAnsi="Avenir LT Std 35 Light"/>
        </w:rPr>
        <w:t xml:space="preserve">” </w:t>
      </w:r>
    </w:p>
    <w:p w14:paraId="3C6E59F8" w14:textId="33CEC80B" w:rsidR="0087378F" w:rsidRPr="00D52AE5" w:rsidRDefault="003C0706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</w:rPr>
        <w:t xml:space="preserve">The group </w:t>
      </w:r>
      <w:r w:rsidR="007B2C25" w:rsidRPr="00D52AE5">
        <w:rPr>
          <w:rFonts w:ascii="Avenir LT Std 35 Light" w:hAnsi="Avenir LT Std 35 Light"/>
        </w:rPr>
        <w:t>develop</w:t>
      </w:r>
      <w:r w:rsidRPr="00D52AE5">
        <w:rPr>
          <w:rFonts w:ascii="Avenir LT Std 35 Light" w:hAnsi="Avenir LT Std 35 Light"/>
        </w:rPr>
        <w:t>s</w:t>
      </w:r>
      <w:r w:rsidR="007B2C25" w:rsidRPr="00D52AE5">
        <w:rPr>
          <w:rFonts w:ascii="Avenir LT Std 35 Light" w:hAnsi="Avenir LT Std 35 Light"/>
        </w:rPr>
        <w:t xml:space="preserve"> </w:t>
      </w:r>
      <w:r w:rsidRPr="00D52AE5">
        <w:rPr>
          <w:rFonts w:ascii="Avenir LT Std 35 Light" w:hAnsi="Avenir LT Std 35 Light"/>
        </w:rPr>
        <w:t>matrices</w:t>
      </w:r>
      <w:r w:rsidR="007B2C25" w:rsidRPr="00D52AE5">
        <w:rPr>
          <w:rFonts w:ascii="Avenir LT Std 35 Light" w:hAnsi="Avenir LT Std 35 Light"/>
        </w:rPr>
        <w:t xml:space="preserve"> t</w:t>
      </w:r>
      <w:r w:rsidR="004E0DC8" w:rsidRPr="00D52AE5">
        <w:rPr>
          <w:rFonts w:ascii="Avenir LT Std 35 Light" w:hAnsi="Avenir LT Std 35 Light"/>
        </w:rPr>
        <w:t>hat</w:t>
      </w:r>
      <w:r w:rsidR="007B2C25" w:rsidRPr="00D52AE5">
        <w:rPr>
          <w:rFonts w:ascii="Avenir LT Std 35 Light" w:hAnsi="Avenir LT Std 35 Light"/>
        </w:rPr>
        <w:t xml:space="preserve"> mimic the extracellular matrix</w:t>
      </w:r>
      <w:r w:rsidR="00D66807" w:rsidRPr="00D52AE5">
        <w:rPr>
          <w:rFonts w:ascii="Avenir LT Std 35 Light" w:hAnsi="Avenir LT Std 35 Light"/>
        </w:rPr>
        <w:t xml:space="preserve"> in vivo</w:t>
      </w:r>
      <w:r w:rsidR="00B205CA" w:rsidRPr="00D52AE5">
        <w:rPr>
          <w:rFonts w:ascii="Avenir LT Std 35 Light" w:hAnsi="Avenir LT Std 35 Light"/>
        </w:rPr>
        <w:t>,</w:t>
      </w:r>
      <w:r w:rsidRPr="00D52AE5">
        <w:rPr>
          <w:rFonts w:ascii="Avenir LT Std 35 Light" w:hAnsi="Avenir LT Std 35 Light"/>
        </w:rPr>
        <w:t xml:space="preserve"> a</w:t>
      </w:r>
      <w:r w:rsidR="007B2C25" w:rsidRPr="00D52AE5">
        <w:rPr>
          <w:rFonts w:ascii="Avenir LT Std 35 Light" w:hAnsi="Avenir LT Std 35 Light"/>
        </w:rPr>
        <w:t>nalyz</w:t>
      </w:r>
      <w:r w:rsidRPr="00D52AE5">
        <w:rPr>
          <w:rFonts w:ascii="Avenir LT Std 35 Light" w:hAnsi="Avenir LT Std 35 Light"/>
        </w:rPr>
        <w:t>e</w:t>
      </w:r>
      <w:r w:rsidR="00B205CA" w:rsidRPr="00D52AE5">
        <w:rPr>
          <w:rFonts w:ascii="Avenir LT Std 35 Light" w:hAnsi="Avenir LT Std 35 Light"/>
        </w:rPr>
        <w:t>s</w:t>
      </w:r>
      <w:r w:rsidR="007B2C25" w:rsidRPr="00D52AE5">
        <w:rPr>
          <w:rFonts w:ascii="Avenir LT Std 35 Light" w:hAnsi="Avenir LT Std 35 Light"/>
        </w:rPr>
        <w:t xml:space="preserve"> mesenchymal stem cells, </w:t>
      </w:r>
      <w:r w:rsidR="00DA3C2A" w:rsidRPr="00D52AE5">
        <w:rPr>
          <w:rFonts w:ascii="Avenir LT Std 35 Light" w:hAnsi="Avenir LT Std 35 Light"/>
        </w:rPr>
        <w:t xml:space="preserve">fibroblasts, and </w:t>
      </w:r>
      <w:r w:rsidR="007B2C25" w:rsidRPr="00D52AE5">
        <w:rPr>
          <w:rFonts w:ascii="Avenir LT Std 35 Light" w:hAnsi="Avenir LT Std 35 Light"/>
        </w:rPr>
        <w:t xml:space="preserve">epithelial cells </w:t>
      </w:r>
      <w:r w:rsidRPr="00D52AE5">
        <w:rPr>
          <w:rFonts w:ascii="Avenir LT Std 35 Light" w:hAnsi="Avenir LT Std 35 Light"/>
        </w:rPr>
        <w:t>encapsulated in hydrogels to stud</w:t>
      </w:r>
      <w:r w:rsidR="00B205CA" w:rsidRPr="00D52AE5">
        <w:rPr>
          <w:rFonts w:ascii="Avenir LT Std 35 Light" w:hAnsi="Avenir LT Std 35 Light"/>
        </w:rPr>
        <w:t>y</w:t>
      </w:r>
      <w:r w:rsidRPr="00D52AE5">
        <w:rPr>
          <w:rFonts w:ascii="Avenir LT Std 35 Light" w:hAnsi="Avenir LT Std 35 Light"/>
        </w:rPr>
        <w:t xml:space="preserve"> how mechanical cues </w:t>
      </w:r>
      <w:r w:rsidR="004E0DC8" w:rsidRPr="00D52AE5">
        <w:rPr>
          <w:rFonts w:ascii="Avenir LT Std 35 Light" w:hAnsi="Avenir LT Std 35 Light"/>
        </w:rPr>
        <w:t xml:space="preserve">may </w:t>
      </w:r>
      <w:r w:rsidRPr="00D52AE5">
        <w:rPr>
          <w:rFonts w:ascii="Avenir LT Std 35 Light" w:hAnsi="Avenir LT Std 35 Light"/>
        </w:rPr>
        <w:t>alter cell phenotype</w:t>
      </w:r>
      <w:r w:rsidR="004E0DC8" w:rsidRPr="00D52AE5">
        <w:rPr>
          <w:rFonts w:ascii="Avenir LT Std 35 Light" w:hAnsi="Avenir LT Std 35 Light"/>
        </w:rPr>
        <w:t xml:space="preserve">, and </w:t>
      </w:r>
      <w:r w:rsidR="00BF00D6" w:rsidRPr="00D52AE5">
        <w:rPr>
          <w:rFonts w:ascii="Avenir LT Std 35 Light" w:hAnsi="Avenir LT Std 35 Light"/>
        </w:rPr>
        <w:t xml:space="preserve">investigates specific genes by </w:t>
      </w:r>
      <w:r w:rsidR="004E0DC8" w:rsidRPr="00D52AE5">
        <w:rPr>
          <w:rFonts w:ascii="Avenir LT Std 35 Light" w:hAnsi="Avenir LT Std 35 Light"/>
        </w:rPr>
        <w:t>generat</w:t>
      </w:r>
      <w:r w:rsidR="00BF00D6" w:rsidRPr="00D52AE5">
        <w:rPr>
          <w:rFonts w:ascii="Avenir LT Std 35 Light" w:hAnsi="Avenir LT Std 35 Light"/>
        </w:rPr>
        <w:t>ing</w:t>
      </w:r>
      <w:r w:rsidR="004E0DC8" w:rsidRPr="00D52AE5">
        <w:rPr>
          <w:rFonts w:ascii="Avenir LT Std 35 Light" w:hAnsi="Avenir LT Std 35 Light"/>
        </w:rPr>
        <w:t xml:space="preserve"> </w:t>
      </w:r>
      <w:r w:rsidR="007B2C25" w:rsidRPr="00D52AE5">
        <w:rPr>
          <w:rFonts w:ascii="Avenir LT Std 35 Light" w:hAnsi="Avenir LT Std 35 Light"/>
        </w:rPr>
        <w:t>stable knockdown cell lines</w:t>
      </w:r>
      <w:r w:rsidR="004E0DC8" w:rsidRPr="00D52AE5">
        <w:rPr>
          <w:rFonts w:ascii="Avenir LT Std 35 Light" w:hAnsi="Avenir LT Std 35 Light"/>
        </w:rPr>
        <w:t xml:space="preserve">. </w:t>
      </w:r>
      <w:r w:rsidR="00185ABB" w:rsidRPr="00D52AE5">
        <w:rPr>
          <w:rFonts w:ascii="Avenir LT Std 35 Light" w:eastAsia="Times New Roman" w:hAnsi="Avenir LT Std 35 Light"/>
          <w:color w:val="000000"/>
        </w:rPr>
        <w:t xml:space="preserve">The Committee discussed engineering controls, containment practices, and PPE for the work with lentiviral vectors. </w:t>
      </w:r>
    </w:p>
    <w:p w14:paraId="1E6DB362" w14:textId="0B69913E" w:rsidR="0087378F" w:rsidRPr="00D52AE5" w:rsidRDefault="0087378F" w:rsidP="006D401A">
      <w:pPr>
        <w:rPr>
          <w:rFonts w:ascii="Avenir LT Std 35 Light" w:hAnsi="Avenir LT Std 35 Light"/>
          <w:color w:val="000000" w:themeColor="text1"/>
        </w:rPr>
      </w:pPr>
      <w:r w:rsidRPr="00D52AE5">
        <w:rPr>
          <w:rFonts w:ascii="Avenir LT Std 35 Light" w:hAnsi="Avenir LT Std 35 Light"/>
          <w:color w:val="000000" w:themeColor="text1"/>
        </w:rPr>
        <w:t>Training on Biosafety Fundamentals is required once, and training on the Cal/OSHA Bloodborne Pathogens and Aerosol Transmissible Disease Standards is required annually.</w:t>
      </w:r>
    </w:p>
    <w:p w14:paraId="2EBCE18E" w14:textId="77777777" w:rsidR="002304ED" w:rsidRPr="00D52AE5" w:rsidRDefault="0087378F" w:rsidP="006D401A">
      <w:pP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  <w:color w:val="000000" w:themeColor="text1"/>
        </w:rPr>
        <w:t xml:space="preserve">This work is covered by NIH Guidelines </w:t>
      </w:r>
      <w:r w:rsidRPr="00D52AE5">
        <w:rPr>
          <w:rFonts w:ascii="Avenir LT Std 35 Light" w:hAnsi="Avenir LT Std 35 Light"/>
        </w:rPr>
        <w:t>Section III-D-3: Experiments Involving the Use of Infectious DNA or RNA Viruses or Defective DNA or RNA Viruses in the Presence of a Helper System in Tissue Culture Systems.</w:t>
      </w:r>
      <w:r w:rsidR="00A777BD" w:rsidRPr="00D52AE5">
        <w:rPr>
          <w:rFonts w:ascii="Avenir LT Std 35 Light" w:hAnsi="Avenir LT Std 35 Light"/>
        </w:rPr>
        <w:t xml:space="preserve"> </w:t>
      </w:r>
    </w:p>
    <w:p w14:paraId="78508DB2" w14:textId="13D35DA9" w:rsidR="0087378F" w:rsidRPr="00D52AE5" w:rsidRDefault="0087378F" w:rsidP="006D401A">
      <w:pP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  <w:color w:val="000000" w:themeColor="text1"/>
        </w:rPr>
        <w:t xml:space="preserve">The containment level of this work is Biosafety Level 2. </w:t>
      </w:r>
      <w:r w:rsidRPr="00D52AE5">
        <w:rPr>
          <w:rFonts w:ascii="Avenir LT Std 35 Light" w:hAnsi="Avenir LT Std 35 Light"/>
        </w:rPr>
        <w:t xml:space="preserve">The Committee voted to approve 2026-1 with minor modifications. </w:t>
      </w:r>
    </w:p>
    <w:p w14:paraId="3935255C" w14:textId="77777777" w:rsidR="0087378F" w:rsidRPr="00D52AE5" w:rsidRDefault="0087378F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</w:p>
    <w:p w14:paraId="7AB2645A" w14:textId="1746510E" w:rsidR="00AF458D" w:rsidRPr="00D52AE5" w:rsidRDefault="00AF458D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</w:rPr>
        <w:t>BUA 202</w:t>
      </w:r>
      <w:r w:rsidR="00211B7C" w:rsidRPr="00D52AE5">
        <w:rPr>
          <w:rFonts w:ascii="Avenir LT Std 35 Light" w:hAnsi="Avenir LT Std 35 Light"/>
        </w:rPr>
        <w:t>6</w:t>
      </w:r>
      <w:r w:rsidRPr="00D52AE5">
        <w:rPr>
          <w:rFonts w:ascii="Avenir LT Std 35 Light" w:hAnsi="Avenir LT Std 35 Light"/>
        </w:rPr>
        <w:t>-</w:t>
      </w:r>
      <w:r w:rsidR="00211B7C" w:rsidRPr="00D52AE5">
        <w:rPr>
          <w:rFonts w:ascii="Avenir LT Std 35 Light" w:hAnsi="Avenir LT Std 35 Light"/>
        </w:rPr>
        <w:t>2</w:t>
      </w:r>
      <w:r w:rsidRPr="00D52AE5">
        <w:rPr>
          <w:rFonts w:ascii="Avenir LT Std 35 Light" w:hAnsi="Avenir LT Std 35 Light"/>
        </w:rPr>
        <w:t>, “</w:t>
      </w:r>
      <w:r w:rsidR="00211B7C" w:rsidRPr="00D52AE5">
        <w:rPr>
          <w:rFonts w:ascii="Avenir LT Std 35 Light" w:hAnsi="Avenir LT Std 35 Light"/>
        </w:rPr>
        <w:t>The Role of Histone Methyltransferase Subunits in Measles Virus Infection</w:t>
      </w:r>
      <w:r w:rsidRPr="00D52AE5">
        <w:rPr>
          <w:rFonts w:ascii="Avenir LT Std 35 Light" w:hAnsi="Avenir LT Std 35 Light"/>
        </w:rPr>
        <w:t xml:space="preserve">” </w:t>
      </w:r>
    </w:p>
    <w:p w14:paraId="2A31F899" w14:textId="20E580FB" w:rsidR="00656523" w:rsidRPr="00D52AE5" w:rsidRDefault="005C195C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</w:rPr>
        <w:t>The group studies host factors involved in</w:t>
      </w:r>
      <w:r w:rsidR="006D401A" w:rsidRPr="00D52AE5">
        <w:rPr>
          <w:rFonts w:ascii="Avenir LT Std 35 Light" w:hAnsi="Avenir LT Std 35 Light"/>
        </w:rPr>
        <w:t xml:space="preserve"> virus replication using </w:t>
      </w:r>
      <w:r w:rsidRPr="00D52AE5">
        <w:rPr>
          <w:rFonts w:ascii="Avenir LT Std 35 Light" w:eastAsia="Times New Roman" w:hAnsi="Avenir LT Std 35 Light"/>
        </w:rPr>
        <w:t xml:space="preserve">fluorescent reporter strains isogenic to the </w:t>
      </w:r>
      <w:proofErr w:type="spellStart"/>
      <w:r w:rsidRPr="00D52AE5">
        <w:rPr>
          <w:rFonts w:ascii="Avenir LT Std 35 Light" w:eastAsia="Times New Roman" w:hAnsi="Avenir LT Std 35 Light"/>
        </w:rPr>
        <w:t>Moraten</w:t>
      </w:r>
      <w:proofErr w:type="spellEnd"/>
      <w:r w:rsidRPr="00D52AE5">
        <w:rPr>
          <w:rFonts w:ascii="Avenir LT Std 35 Light" w:eastAsia="Times New Roman" w:hAnsi="Avenir LT Std 35 Light"/>
        </w:rPr>
        <w:t xml:space="preserve"> vaccine </w:t>
      </w:r>
      <w:r w:rsidR="006D401A" w:rsidRPr="00D52AE5">
        <w:rPr>
          <w:rFonts w:ascii="Avenir LT Std 35 Light" w:eastAsia="Times New Roman" w:hAnsi="Avenir LT Std 35 Light"/>
        </w:rPr>
        <w:t xml:space="preserve">or IC323 </w:t>
      </w:r>
      <w:r w:rsidRPr="00D52AE5">
        <w:rPr>
          <w:rFonts w:ascii="Avenir LT Std 35 Light" w:eastAsia="Times New Roman" w:hAnsi="Avenir LT Std 35 Light"/>
        </w:rPr>
        <w:t>strain</w:t>
      </w:r>
      <w:r w:rsidR="00A777BD" w:rsidRPr="00D52AE5">
        <w:rPr>
          <w:rFonts w:ascii="Avenir LT Std 35 Light" w:eastAsia="Times New Roman" w:hAnsi="Avenir LT Std 35 Light"/>
        </w:rPr>
        <w:t xml:space="preserve"> in model tissue culture systems</w:t>
      </w:r>
      <w:r w:rsidRPr="00D52AE5">
        <w:rPr>
          <w:rFonts w:ascii="Avenir LT Std 35 Light" w:eastAsia="Times New Roman" w:hAnsi="Avenir LT Std 35 Light"/>
        </w:rPr>
        <w:t xml:space="preserve">, </w:t>
      </w:r>
      <w:r w:rsidR="006D401A" w:rsidRPr="00D52AE5">
        <w:rPr>
          <w:rFonts w:ascii="Avenir LT Std 35 Light" w:hAnsi="Avenir LT Std 35 Light"/>
        </w:rPr>
        <w:t xml:space="preserve">and manipulates host factor gene expression with lipid-based reagents or lentiviral vectors. </w:t>
      </w:r>
      <w:r w:rsidR="00656523" w:rsidRPr="00D52AE5">
        <w:rPr>
          <w:rFonts w:ascii="Avenir LT Std 35 Light" w:hAnsi="Avenir LT Std 35 Light"/>
        </w:rPr>
        <w:t xml:space="preserve">The Committee </w:t>
      </w:r>
      <w:r w:rsidR="009558D2" w:rsidRPr="00D52AE5">
        <w:rPr>
          <w:rFonts w:ascii="Avenir LT Std 35 Light" w:hAnsi="Avenir LT Std 35 Light"/>
        </w:rPr>
        <w:t>recommended</w:t>
      </w:r>
      <w:r w:rsidR="00656523" w:rsidRPr="00D52AE5">
        <w:rPr>
          <w:rFonts w:ascii="Avenir LT Std 35 Light" w:hAnsi="Avenir LT Std 35 Light"/>
        </w:rPr>
        <w:t xml:space="preserve"> removing </w:t>
      </w:r>
      <w:r w:rsidR="009558D2" w:rsidRPr="00D52AE5">
        <w:rPr>
          <w:rFonts w:ascii="Avenir LT Std 35 Light" w:hAnsi="Avenir LT Std 35 Light"/>
        </w:rPr>
        <w:t xml:space="preserve">the </w:t>
      </w:r>
      <w:r w:rsidR="00656523" w:rsidRPr="00D52AE5">
        <w:rPr>
          <w:rFonts w:ascii="Avenir LT Std 35 Light" w:hAnsi="Avenir LT Std 35 Light"/>
        </w:rPr>
        <w:t xml:space="preserve">mention of wild type </w:t>
      </w:r>
      <w:r w:rsidR="009558D2" w:rsidRPr="00D52AE5">
        <w:rPr>
          <w:rFonts w:ascii="Avenir LT Std 35 Light" w:hAnsi="Avenir LT Std 35 Light"/>
        </w:rPr>
        <w:t>virus</w:t>
      </w:r>
      <w:r w:rsidR="00656523" w:rsidRPr="00D52AE5">
        <w:rPr>
          <w:rFonts w:ascii="Avenir LT Std 35 Light" w:hAnsi="Avenir LT Std 35 Light"/>
        </w:rPr>
        <w:t xml:space="preserve"> from the risk assessment, and including a statement </w:t>
      </w:r>
      <w:r w:rsidR="009558D2" w:rsidRPr="00D52AE5">
        <w:rPr>
          <w:rFonts w:ascii="Avenir LT Std 35 Light" w:hAnsi="Avenir LT Std 35 Light"/>
        </w:rPr>
        <w:t>summarizing</w:t>
      </w:r>
      <w:r w:rsidR="00656523" w:rsidRPr="00D52AE5">
        <w:rPr>
          <w:rFonts w:ascii="Avenir LT Std 35 Light" w:hAnsi="Avenir LT Std 35 Light"/>
        </w:rPr>
        <w:t xml:space="preserve"> UC </w:t>
      </w:r>
      <w:r w:rsidR="009558D2" w:rsidRPr="00D52AE5">
        <w:rPr>
          <w:rFonts w:ascii="Avenir LT Std 35 Light" w:hAnsi="Avenir LT Std 35 Light"/>
        </w:rPr>
        <w:t xml:space="preserve">immunization </w:t>
      </w:r>
      <w:r w:rsidR="00656523" w:rsidRPr="00D52AE5">
        <w:rPr>
          <w:rFonts w:ascii="Avenir LT Std 35 Light" w:hAnsi="Avenir LT Std 35 Light"/>
        </w:rPr>
        <w:t>require</w:t>
      </w:r>
      <w:r w:rsidR="009558D2" w:rsidRPr="00D52AE5">
        <w:rPr>
          <w:rFonts w:ascii="Avenir LT Std 35 Light" w:hAnsi="Avenir LT Std 35 Light"/>
        </w:rPr>
        <w:t xml:space="preserve">ments. </w:t>
      </w:r>
      <w:r w:rsidR="00656523" w:rsidRPr="00D52AE5">
        <w:rPr>
          <w:rFonts w:ascii="Avenir LT Std 35 Light" w:hAnsi="Avenir LT Std 35 Light"/>
        </w:rPr>
        <w:t xml:space="preserve">  </w:t>
      </w:r>
    </w:p>
    <w:p w14:paraId="3713A754" w14:textId="588C599C" w:rsidR="00656523" w:rsidRPr="00D52AE5" w:rsidRDefault="00656523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  <w:i/>
          <w:iCs/>
        </w:rPr>
      </w:pPr>
      <w:r w:rsidRPr="00D52AE5">
        <w:rPr>
          <w:rFonts w:ascii="Avenir LT Std 35 Light" w:hAnsi="Avenir LT Std 35 Light"/>
          <w:color w:val="000000" w:themeColor="text1"/>
        </w:rPr>
        <w:t>Training on Biosafety Fundamentals is required once, and training on the Cal/OSHA Bloodborne Pathogens and Aerosol Transmissible Disease Standards is required annually.</w:t>
      </w:r>
    </w:p>
    <w:p w14:paraId="798AE6DD" w14:textId="56C988CC" w:rsidR="00656523" w:rsidRPr="00D52AE5" w:rsidRDefault="00656523" w:rsidP="006D401A">
      <w:pP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  <w:color w:val="000000" w:themeColor="text1"/>
        </w:rPr>
        <w:t xml:space="preserve">This work is covered by NIH Guidelines </w:t>
      </w:r>
      <w:r w:rsidRPr="00D52AE5">
        <w:rPr>
          <w:rFonts w:ascii="Avenir LT Std 35 Light" w:hAnsi="Avenir LT Std 35 Light"/>
        </w:rPr>
        <w:t>Section III-D-1. Experiments Using Risk Group 2, Risk Group 3, Risk Group 4, or Restricted Agents as Host-Vector Systems</w:t>
      </w:r>
      <w:r w:rsidR="002304ED" w:rsidRPr="00D52AE5">
        <w:rPr>
          <w:rFonts w:ascii="Avenir LT Std 35 Light" w:hAnsi="Avenir LT Std 35 Light"/>
        </w:rPr>
        <w:t xml:space="preserve">; </w:t>
      </w:r>
      <w:r w:rsidRPr="00D52AE5">
        <w:rPr>
          <w:rFonts w:ascii="Avenir LT Std 35 Light" w:hAnsi="Avenir LT Std 35 Light"/>
        </w:rPr>
        <w:t>Section III-D-2. Experiments in Which DNA From Risk Group 2, Risk Group 3, Risk Group 4, or Restricted Agents is Cloned into Nonpathogenic Prokaryotic or Lower Eukaryotic Host-Vector Systems</w:t>
      </w:r>
      <w:r w:rsidR="002304ED" w:rsidRPr="00D52AE5">
        <w:rPr>
          <w:rFonts w:ascii="Avenir LT Std 35 Light" w:hAnsi="Avenir LT Std 35 Light"/>
        </w:rPr>
        <w:t xml:space="preserve">; </w:t>
      </w:r>
      <w:r w:rsidR="00D66807" w:rsidRPr="00D52AE5">
        <w:rPr>
          <w:rFonts w:ascii="Avenir LT Std 35 Light" w:hAnsi="Avenir LT Std 35 Light"/>
        </w:rPr>
        <w:t xml:space="preserve">and </w:t>
      </w:r>
      <w:r w:rsidRPr="00D52AE5">
        <w:rPr>
          <w:rFonts w:ascii="Avenir LT Std 35 Light" w:hAnsi="Avenir LT Std 35 Light"/>
        </w:rPr>
        <w:t>Section III-D-3. Experiments Involving the Use of Infectious DNA or RNA Viruses or Defective DNA or RNA Viruses in the Presence of a Helper System in Tissue Culture Systems</w:t>
      </w:r>
      <w:r w:rsidR="002304ED" w:rsidRPr="00D52AE5">
        <w:rPr>
          <w:rFonts w:ascii="Avenir LT Std 35 Light" w:hAnsi="Avenir LT Std 35 Light"/>
        </w:rPr>
        <w:t>.</w:t>
      </w:r>
    </w:p>
    <w:p w14:paraId="23A7B498" w14:textId="471C2DD0" w:rsidR="00656523" w:rsidRPr="00D52AE5" w:rsidRDefault="00656523" w:rsidP="006D401A">
      <w:pP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  <w:color w:val="000000" w:themeColor="text1"/>
        </w:rPr>
        <w:lastRenderedPageBreak/>
        <w:t xml:space="preserve">The containment level of this work is Biosafety Level 2. </w:t>
      </w:r>
      <w:r w:rsidRPr="00D52AE5">
        <w:rPr>
          <w:rFonts w:ascii="Avenir LT Std 35 Light" w:hAnsi="Avenir LT Std 35 Light"/>
        </w:rPr>
        <w:t xml:space="preserve">The Committee voted to approve 2026-2 with modifications. </w:t>
      </w:r>
    </w:p>
    <w:p w14:paraId="36208AA5" w14:textId="77777777" w:rsidR="00656523" w:rsidRPr="00D52AE5" w:rsidRDefault="00656523" w:rsidP="006D401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venir LT Std 35 Light" w:hAnsi="Avenir LT Std 35 Light"/>
        </w:rPr>
      </w:pPr>
    </w:p>
    <w:p w14:paraId="406D44DD" w14:textId="0D1929E2" w:rsidR="00204BE0" w:rsidRPr="00D52AE5" w:rsidRDefault="00204BE0" w:rsidP="006D401A">
      <w:pPr>
        <w:rPr>
          <w:rFonts w:ascii="Avenir LT Std 35 Light" w:eastAsia="Avenir" w:hAnsi="Avenir LT Std 35 Light"/>
          <w:b/>
          <w:bCs/>
          <w:color w:val="000000" w:themeColor="text1"/>
        </w:rPr>
      </w:pPr>
      <w:r w:rsidRPr="00D52AE5">
        <w:rPr>
          <w:rFonts w:ascii="Avenir LT Std 35 Light" w:eastAsia="Avenir" w:hAnsi="Avenir LT Std 35 Light"/>
          <w:b/>
          <w:color w:val="000000"/>
        </w:rPr>
        <w:t xml:space="preserve">Biological Use Authorization Amendment </w:t>
      </w:r>
    </w:p>
    <w:p w14:paraId="1968845E" w14:textId="452922AB" w:rsidR="00204BE0" w:rsidRPr="00D52AE5" w:rsidRDefault="00204BE0" w:rsidP="006D401A">
      <w:pPr>
        <w:rPr>
          <w:rFonts w:ascii="Avenir LT Std 35 Light" w:eastAsia="Avenir" w:hAnsi="Avenir LT Std 35 Light"/>
          <w:bCs/>
          <w:color w:val="000000"/>
        </w:rPr>
      </w:pPr>
      <w:r w:rsidRPr="00D52AE5">
        <w:rPr>
          <w:rFonts w:ascii="Avenir LT Std 35 Light" w:eastAsia="Avenir" w:hAnsi="Avenir LT Std 35 Light"/>
          <w:bCs/>
          <w:color w:val="000000"/>
        </w:rPr>
        <w:t xml:space="preserve">BUA 2025-19, “Biomarker Enzyme-Immunoassay Research” </w:t>
      </w:r>
    </w:p>
    <w:p w14:paraId="344FF7FB" w14:textId="3DD2DD8E" w:rsidR="007B2C25" w:rsidRPr="00D52AE5" w:rsidRDefault="007B2C25" w:rsidP="006D401A">
      <w:pPr>
        <w:rPr>
          <w:rFonts w:ascii="Avenir LT Std 35 Light" w:eastAsia="Avenir" w:hAnsi="Avenir LT Std 35 Light"/>
          <w:bCs/>
          <w:color w:val="000000"/>
        </w:rPr>
      </w:pPr>
      <w:r w:rsidRPr="00D52AE5">
        <w:rPr>
          <w:rFonts w:ascii="Avenir LT Std 35 Light" w:eastAsia="Avenir" w:hAnsi="Avenir LT Std 35 Light"/>
          <w:bCs/>
          <w:color w:val="000000"/>
        </w:rPr>
        <w:t xml:space="preserve">The PI amended the BUA for additional biospecimens collected </w:t>
      </w:r>
      <w:r w:rsidR="00840AFE" w:rsidRPr="00D52AE5">
        <w:rPr>
          <w:rFonts w:ascii="Avenir LT Std 35 Light" w:eastAsia="Avenir" w:hAnsi="Avenir LT Std 35 Light"/>
          <w:bCs/>
          <w:color w:val="000000"/>
        </w:rPr>
        <w:t xml:space="preserve">by collaborators </w:t>
      </w:r>
      <w:r w:rsidRPr="00D52AE5">
        <w:rPr>
          <w:rFonts w:ascii="Avenir LT Std 35 Light" w:eastAsia="Avenir" w:hAnsi="Avenir LT Std 35 Light"/>
          <w:bCs/>
          <w:color w:val="000000"/>
        </w:rPr>
        <w:t>from Kakamega Blue monkey</w:t>
      </w:r>
      <w:r w:rsidR="000E011E" w:rsidRPr="00D52AE5">
        <w:rPr>
          <w:rFonts w:ascii="Avenir LT Std 35 Light" w:eastAsia="Avenir" w:hAnsi="Avenir LT Std 35 Light"/>
          <w:bCs/>
          <w:color w:val="000000"/>
        </w:rPr>
        <w:t>s</w:t>
      </w:r>
      <w:r w:rsidRPr="00D52AE5">
        <w:rPr>
          <w:rFonts w:ascii="Avenir LT Std 35 Light" w:eastAsia="Avenir" w:hAnsi="Avenir LT Std 35 Light"/>
          <w:bCs/>
          <w:color w:val="000000"/>
        </w:rPr>
        <w:t>.</w:t>
      </w:r>
      <w:r w:rsidR="00840AFE" w:rsidRPr="00D52AE5">
        <w:rPr>
          <w:rFonts w:ascii="Avenir LT Std 35 Light" w:eastAsia="Avenir" w:hAnsi="Avenir LT Std 35 Light"/>
          <w:bCs/>
          <w:color w:val="000000"/>
        </w:rPr>
        <w:t xml:space="preserve"> The Committee revisited specifics with regards to blood collection for the QBC portion of the social sciences course</w:t>
      </w:r>
      <w:r w:rsidR="0020552F" w:rsidRPr="00D52AE5">
        <w:rPr>
          <w:rFonts w:ascii="Avenir LT Std 35 Light" w:eastAsia="Avenir" w:hAnsi="Avenir LT Std 35 Light"/>
          <w:bCs/>
          <w:color w:val="000000"/>
        </w:rPr>
        <w:t>; t</w:t>
      </w:r>
      <w:r w:rsidR="00840AFE" w:rsidRPr="00D52AE5">
        <w:rPr>
          <w:rFonts w:ascii="Avenir LT Std 35 Light" w:eastAsia="Avenir" w:hAnsi="Avenir LT Std 35 Light"/>
          <w:bCs/>
          <w:color w:val="000000"/>
        </w:rPr>
        <w:t xml:space="preserve">he PI clarified that </w:t>
      </w:r>
      <w:r w:rsidR="0020552F" w:rsidRPr="00D52AE5">
        <w:rPr>
          <w:rFonts w:ascii="Avenir LT Std 35 Light" w:eastAsia="Avenir" w:hAnsi="Avenir LT Std 35 Light"/>
          <w:bCs/>
          <w:color w:val="000000"/>
        </w:rPr>
        <w:t>the needle gauge used</w:t>
      </w:r>
      <w:r w:rsidR="00840AFE" w:rsidRPr="00D52AE5">
        <w:rPr>
          <w:rFonts w:ascii="Avenir LT Std 35 Light" w:eastAsia="Avenir" w:hAnsi="Avenir LT Std 35 Light"/>
          <w:bCs/>
          <w:color w:val="000000"/>
        </w:rPr>
        <w:t xml:space="preserve"> </w:t>
      </w:r>
      <w:r w:rsidR="00F41728" w:rsidRPr="00D52AE5">
        <w:rPr>
          <w:rFonts w:ascii="Avenir LT Std 35 Light" w:eastAsia="Avenir" w:hAnsi="Avenir LT Std 35 Light"/>
          <w:bCs/>
          <w:color w:val="000000"/>
        </w:rPr>
        <w:t xml:space="preserve">would be larger </w:t>
      </w:r>
      <w:r w:rsidR="00637C96" w:rsidRPr="00D52AE5">
        <w:rPr>
          <w:rFonts w:ascii="Avenir LT Std 35 Light" w:eastAsia="Avenir" w:hAnsi="Avenir LT Std 35 Light"/>
          <w:bCs/>
          <w:color w:val="000000"/>
        </w:rPr>
        <w:t>than</w:t>
      </w:r>
      <w:r w:rsidR="00840AFE" w:rsidRPr="00D52AE5">
        <w:rPr>
          <w:rFonts w:ascii="Avenir LT Std 35 Light" w:eastAsia="Avenir" w:hAnsi="Avenir LT Std 35 Light"/>
          <w:bCs/>
          <w:color w:val="000000"/>
        </w:rPr>
        <w:t xml:space="preserve"> </w:t>
      </w:r>
      <w:r w:rsidR="00F41728" w:rsidRPr="00D52AE5">
        <w:rPr>
          <w:rFonts w:ascii="Avenir LT Std 35 Light" w:eastAsia="Avenir" w:hAnsi="Avenir LT Std 35 Light"/>
          <w:bCs/>
          <w:color w:val="000000"/>
        </w:rPr>
        <w:t xml:space="preserve">that used for </w:t>
      </w:r>
      <w:r w:rsidR="00840AFE" w:rsidRPr="00D52AE5">
        <w:rPr>
          <w:rFonts w:ascii="Avenir LT Std 35 Light" w:eastAsia="Avenir" w:hAnsi="Avenir LT Std 35 Light"/>
          <w:bCs/>
          <w:color w:val="000000"/>
        </w:rPr>
        <w:t>blood glucose tests due to the volume of blood required</w:t>
      </w:r>
      <w:r w:rsidR="006D401A" w:rsidRPr="00D52AE5">
        <w:rPr>
          <w:rFonts w:ascii="Avenir LT Std 35 Light" w:eastAsia="Avenir" w:hAnsi="Avenir LT Std 35 Light"/>
          <w:bCs/>
          <w:color w:val="000000"/>
        </w:rPr>
        <w:t xml:space="preserve"> for analysis</w:t>
      </w:r>
      <w:r w:rsidR="00840AFE" w:rsidRPr="00D52AE5">
        <w:rPr>
          <w:rFonts w:ascii="Avenir LT Std 35 Light" w:eastAsia="Avenir" w:hAnsi="Avenir LT Std 35 Light"/>
          <w:bCs/>
          <w:color w:val="000000"/>
        </w:rPr>
        <w:t xml:space="preserve">. </w:t>
      </w:r>
    </w:p>
    <w:p w14:paraId="08D6042A" w14:textId="77777777" w:rsidR="002304ED" w:rsidRPr="00D52AE5" w:rsidRDefault="000E011E" w:rsidP="006D401A">
      <w:pP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</w:rPr>
        <w:t xml:space="preserve">Training on Biosafety Fundamentals is required once, and training on the Cal/OSHA Bloodborne Pathogens and Aerosol Transmissible Disease Standards is required annually. </w:t>
      </w:r>
    </w:p>
    <w:p w14:paraId="4C8675A0" w14:textId="77777777" w:rsidR="002304ED" w:rsidRPr="00D52AE5" w:rsidRDefault="000E011E" w:rsidP="006D401A">
      <w:pPr>
        <w:rPr>
          <w:rFonts w:ascii="Avenir LT Std 35 Light" w:hAnsi="Avenir LT Std 35 Light"/>
        </w:rPr>
      </w:pPr>
      <w:r w:rsidRPr="00D52AE5">
        <w:rPr>
          <w:rFonts w:ascii="Avenir LT Std 35 Light" w:hAnsi="Avenir LT Std 35 Light"/>
        </w:rPr>
        <w:t xml:space="preserve">This work is not covered by the NIH Guidelines. </w:t>
      </w:r>
    </w:p>
    <w:p w14:paraId="356F319F" w14:textId="4F24A979" w:rsidR="000E011E" w:rsidRPr="00D52AE5" w:rsidRDefault="000E011E" w:rsidP="006D401A">
      <w:pPr>
        <w:rPr>
          <w:rFonts w:ascii="Avenir LT Std 35 Light" w:hAnsi="Avenir LT Std 35 Light"/>
          <w:color w:val="000000" w:themeColor="text1"/>
        </w:rPr>
      </w:pPr>
      <w:r w:rsidRPr="00D52AE5">
        <w:rPr>
          <w:rFonts w:ascii="Avenir LT Std 35 Light" w:hAnsi="Avenir LT Std 35 Light"/>
          <w:color w:val="000000" w:themeColor="text1"/>
        </w:rPr>
        <w:t xml:space="preserve">The containment level of this work is Biosafety Level 2. The Committee voted to approve </w:t>
      </w:r>
      <w:r w:rsidR="00F41728" w:rsidRPr="00D52AE5">
        <w:rPr>
          <w:rFonts w:ascii="Avenir LT Std 35 Light" w:hAnsi="Avenir LT Std 35 Light"/>
          <w:color w:val="000000" w:themeColor="text1"/>
        </w:rPr>
        <w:t xml:space="preserve">the amendment to </w:t>
      </w:r>
      <w:r w:rsidRPr="00D52AE5">
        <w:rPr>
          <w:rFonts w:ascii="Avenir LT Std 35 Light" w:hAnsi="Avenir LT Std 35 Light"/>
          <w:color w:val="000000" w:themeColor="text1"/>
        </w:rPr>
        <w:t xml:space="preserve">2025-19. </w:t>
      </w:r>
    </w:p>
    <w:p w14:paraId="555B94FB" w14:textId="77777777" w:rsidR="000E011E" w:rsidRPr="00D52AE5" w:rsidRDefault="000E011E" w:rsidP="006D401A">
      <w:pPr>
        <w:rPr>
          <w:rFonts w:ascii="Avenir LT Std 35 Light" w:eastAsia="Avenir" w:hAnsi="Avenir LT Std 35 Light"/>
          <w:bCs/>
          <w:color w:val="000000"/>
        </w:rPr>
      </w:pPr>
    </w:p>
    <w:p w14:paraId="0A97F406" w14:textId="1C26F318" w:rsidR="0087378F" w:rsidRPr="00D52AE5" w:rsidRDefault="0087378F" w:rsidP="006D401A">
      <w:pPr>
        <w:rPr>
          <w:rFonts w:ascii="Avenir LT Std 35 Light" w:eastAsia="Avenir" w:hAnsi="Avenir LT Std 35 Light"/>
          <w:b/>
          <w:color w:val="000000"/>
        </w:rPr>
      </w:pPr>
      <w:r w:rsidRPr="00D52AE5">
        <w:rPr>
          <w:rFonts w:ascii="Avenir LT Std 35 Light" w:eastAsia="Avenir" w:hAnsi="Avenir LT Std 35 Light"/>
          <w:b/>
          <w:color w:val="000000"/>
        </w:rPr>
        <w:t xml:space="preserve">Adjourned 3:22 pm. </w:t>
      </w:r>
    </w:p>
    <w:p w14:paraId="2E8A0861" w14:textId="10DD5B1E" w:rsidR="00D52AE5" w:rsidRPr="00D52AE5" w:rsidRDefault="0049756D" w:rsidP="00D52AE5">
      <w:pPr>
        <w:rPr>
          <w:rFonts w:ascii="Avenir LT Std 35 Light" w:eastAsia="Times New Roman" w:hAnsi="Avenir LT Std 35 Light"/>
          <w:color w:val="000000"/>
        </w:rPr>
      </w:pPr>
      <w:r w:rsidRPr="00D52AE5">
        <w:rPr>
          <w:rFonts w:ascii="Avenir LT Std 35 Light" w:eastAsia="Avenir" w:hAnsi="Avenir LT Std 35 Light" w:cstheme="minorHAnsi"/>
        </w:rPr>
        <w:br/>
      </w:r>
      <w:r w:rsidR="00D52AE5" w:rsidRPr="00D52AE5">
        <w:rPr>
          <w:rFonts w:ascii="Avenir LT Std 35 Light" w:eastAsia="Times New Roman" w:hAnsi="Avenir LT Std 35 Light"/>
          <w:color w:val="000000"/>
        </w:rPr>
        <w:t xml:space="preserve">The Committee approved these minutes at the </w:t>
      </w:r>
      <w:r w:rsidR="00D52AE5" w:rsidRPr="00D52AE5">
        <w:rPr>
          <w:rFonts w:ascii="Avenir LT Std 35 Light" w:eastAsia="Times New Roman" w:hAnsi="Avenir LT Std 35 Light"/>
          <w:color w:val="000000"/>
        </w:rPr>
        <w:t>February 23</w:t>
      </w:r>
      <w:r w:rsidR="00D52AE5" w:rsidRPr="00D52AE5">
        <w:rPr>
          <w:rFonts w:ascii="Avenir LT Std 35 Light" w:eastAsia="Times New Roman" w:hAnsi="Avenir LT Std 35 Light"/>
          <w:color w:val="000000"/>
        </w:rPr>
        <w:t>, 2026, IBC meeting.</w:t>
      </w:r>
    </w:p>
    <w:p w14:paraId="1C0B97F7" w14:textId="00704E74" w:rsidR="00084C5D" w:rsidRPr="00D52AE5" w:rsidRDefault="00084C5D" w:rsidP="005A78CC">
      <w:pPr>
        <w:rPr>
          <w:rFonts w:ascii="Avenir LT Std 35 Light" w:eastAsia="Times New Roman" w:hAnsi="Avenir LT Std 35 Light" w:cstheme="minorHAnsi"/>
          <w:color w:val="000000"/>
        </w:rPr>
      </w:pPr>
    </w:p>
    <w:sectPr w:rsidR="00084C5D" w:rsidRPr="00D52AE5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C59B" w14:textId="77777777" w:rsidR="00E359E8" w:rsidRDefault="00E359E8">
      <w:pPr>
        <w:spacing w:line="240" w:lineRule="auto"/>
      </w:pPr>
      <w:r>
        <w:separator/>
      </w:r>
    </w:p>
  </w:endnote>
  <w:endnote w:type="continuationSeparator" w:id="0">
    <w:p w14:paraId="518464D8" w14:textId="77777777" w:rsidR="00E359E8" w:rsidRDefault="00E35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  <w:font w:name="Produkt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70EF" w14:textId="77777777" w:rsidR="00E359E8" w:rsidRDefault="00E359E8">
      <w:pPr>
        <w:spacing w:line="240" w:lineRule="auto"/>
      </w:pPr>
      <w:r>
        <w:separator/>
      </w:r>
    </w:p>
  </w:footnote>
  <w:footnote w:type="continuationSeparator" w:id="0">
    <w:p w14:paraId="0BAD303E" w14:textId="77777777" w:rsidR="00E359E8" w:rsidRDefault="00E35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C89" w14:textId="77777777" w:rsidR="004C417D" w:rsidRPr="006A3136" w:rsidRDefault="009A6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" w:eastAsia="Avenir" w:hAnsi="Avenir" w:cs="Avenir"/>
        <w:b/>
        <w:sz w:val="24"/>
        <w:szCs w:val="24"/>
      </w:rPr>
    </w:pPr>
    <w:r w:rsidRPr="006A3136">
      <w:rPr>
        <w:rFonts w:ascii="Avenir" w:eastAsia="Avenir" w:hAnsi="Avenir" w:cs="Avenir"/>
        <w:b/>
        <w:sz w:val="24"/>
        <w:szCs w:val="24"/>
      </w:rPr>
      <w:t>UCSB/Institutional Biosafety Committee</w:t>
    </w:r>
    <w:r w:rsidRPr="006A3136">
      <w:rPr>
        <w:rFonts w:ascii="Avenir" w:eastAsia="Avenir" w:hAnsi="Avenir" w:cs="Avenir"/>
        <w:b/>
        <w:sz w:val="24"/>
        <w:szCs w:val="24"/>
      </w:rPr>
      <w:tab/>
    </w:r>
  </w:p>
  <w:p w14:paraId="4B807CBE" w14:textId="01F7062D" w:rsidR="004C417D" w:rsidRPr="006A3136" w:rsidRDefault="00211B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 LT Std 35 Light" w:eastAsia="Avenir" w:hAnsi="Avenir LT Std 35 Light" w:cs="Avenir"/>
      </w:rPr>
    </w:pPr>
    <w:r w:rsidRPr="006A3136">
      <w:rPr>
        <w:rFonts w:ascii="Avenir LT Std 35 Light" w:eastAsia="Avenir" w:hAnsi="Avenir LT Std 35 Light" w:cs="Avenir"/>
      </w:rPr>
      <w:t>Monday</w:t>
    </w:r>
    <w:r w:rsidR="009A6131" w:rsidRPr="006A3136">
      <w:rPr>
        <w:rFonts w:ascii="Avenir LT Std 35 Light" w:eastAsia="Avenir" w:hAnsi="Avenir LT Std 35 Light" w:cs="Avenir"/>
      </w:rPr>
      <w:t>,</w:t>
    </w:r>
    <w:r w:rsidRPr="006A3136">
      <w:rPr>
        <w:rFonts w:ascii="Avenir LT Std 35 Light" w:eastAsia="Avenir" w:hAnsi="Avenir LT Std 35 Light" w:cs="Avenir"/>
      </w:rPr>
      <w:t xml:space="preserve"> January 26, </w:t>
    </w:r>
    <w:r w:rsidR="009A6131" w:rsidRPr="006A3136">
      <w:rPr>
        <w:rFonts w:ascii="Avenir LT Std 35 Light" w:eastAsia="Avenir" w:hAnsi="Avenir LT Std 35 Light" w:cs="Avenir"/>
      </w:rPr>
      <w:t>202</w:t>
    </w:r>
    <w:r w:rsidRPr="006A3136">
      <w:rPr>
        <w:rFonts w:ascii="Avenir LT Std 35 Light" w:eastAsia="Avenir" w:hAnsi="Avenir LT Std 35 Light" w:cs="Avenir"/>
      </w:rPr>
      <w:t>6</w:t>
    </w:r>
    <w:r w:rsidR="009A6131" w:rsidRPr="006A3136">
      <w:rPr>
        <w:rFonts w:ascii="Avenir LT Std 35 Light" w:eastAsia="Avenir" w:hAnsi="Avenir LT Std 35 Light" w:cs="Avenir"/>
      </w:rPr>
      <w:t xml:space="preserve">, at 3 pm </w:t>
    </w:r>
    <w:r w:rsidR="006A3136" w:rsidRPr="006A3136">
      <w:rPr>
        <w:rFonts w:ascii="Avenir LT Std 35 Light" w:eastAsia="Avenir" w:hAnsi="Avenir LT Std 35 Light" w:cs="Avenir"/>
      </w:rPr>
      <w:t>by video conference</w:t>
    </w:r>
  </w:p>
  <w:p w14:paraId="4CB17F98" w14:textId="345DB488" w:rsidR="004C417D" w:rsidRDefault="006A313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b/>
        <w:color w:val="000000"/>
        <w:sz w:val="24"/>
        <w:szCs w:val="24"/>
      </w:rPr>
    </w:pPr>
    <w:r>
      <w:rPr>
        <w:rFonts w:ascii="Produkt Light" w:eastAsia="Produkt Light" w:hAnsi="Produkt Light" w:cs="Produkt Light"/>
        <w:b/>
        <w:color w:val="000000"/>
        <w:sz w:val="24"/>
        <w:szCs w:val="24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7C3"/>
    <w:multiLevelType w:val="hybridMultilevel"/>
    <w:tmpl w:val="280E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7A7"/>
    <w:multiLevelType w:val="hybridMultilevel"/>
    <w:tmpl w:val="4AE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10005"/>
    <w:multiLevelType w:val="multilevel"/>
    <w:tmpl w:val="DA3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FA6674"/>
    <w:multiLevelType w:val="hybridMultilevel"/>
    <w:tmpl w:val="77DA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C0197E"/>
    <w:multiLevelType w:val="multilevel"/>
    <w:tmpl w:val="F120D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7D"/>
    <w:rsid w:val="00023F77"/>
    <w:rsid w:val="00024E78"/>
    <w:rsid w:val="0004557C"/>
    <w:rsid w:val="00052021"/>
    <w:rsid w:val="00056AEA"/>
    <w:rsid w:val="00056DE3"/>
    <w:rsid w:val="000734BB"/>
    <w:rsid w:val="00074169"/>
    <w:rsid w:val="00084C5D"/>
    <w:rsid w:val="000C18A1"/>
    <w:rsid w:val="000D5F74"/>
    <w:rsid w:val="000E011E"/>
    <w:rsid w:val="00102E2C"/>
    <w:rsid w:val="00122285"/>
    <w:rsid w:val="00124E3D"/>
    <w:rsid w:val="00146963"/>
    <w:rsid w:val="00147305"/>
    <w:rsid w:val="00164652"/>
    <w:rsid w:val="00180B37"/>
    <w:rsid w:val="00185ABB"/>
    <w:rsid w:val="001944DD"/>
    <w:rsid w:val="001A11FA"/>
    <w:rsid w:val="001A1DE4"/>
    <w:rsid w:val="001A5609"/>
    <w:rsid w:val="001A6842"/>
    <w:rsid w:val="001C1D0D"/>
    <w:rsid w:val="001D4E7D"/>
    <w:rsid w:val="001E743F"/>
    <w:rsid w:val="001F3378"/>
    <w:rsid w:val="00202CCA"/>
    <w:rsid w:val="00204BE0"/>
    <w:rsid w:val="0020552F"/>
    <w:rsid w:val="002065DC"/>
    <w:rsid w:val="00211358"/>
    <w:rsid w:val="00211B7C"/>
    <w:rsid w:val="00213F62"/>
    <w:rsid w:val="00226706"/>
    <w:rsid w:val="002304ED"/>
    <w:rsid w:val="002310F7"/>
    <w:rsid w:val="00245988"/>
    <w:rsid w:val="00257A50"/>
    <w:rsid w:val="00275699"/>
    <w:rsid w:val="00283237"/>
    <w:rsid w:val="002A1FCB"/>
    <w:rsid w:val="002A3468"/>
    <w:rsid w:val="002B1CE6"/>
    <w:rsid w:val="002B57BB"/>
    <w:rsid w:val="002D384B"/>
    <w:rsid w:val="002D6B61"/>
    <w:rsid w:val="002D712E"/>
    <w:rsid w:val="002F4089"/>
    <w:rsid w:val="002F642A"/>
    <w:rsid w:val="00311218"/>
    <w:rsid w:val="00320C75"/>
    <w:rsid w:val="00322184"/>
    <w:rsid w:val="00330D05"/>
    <w:rsid w:val="00333BB4"/>
    <w:rsid w:val="00333D64"/>
    <w:rsid w:val="003365F0"/>
    <w:rsid w:val="003612C0"/>
    <w:rsid w:val="00373DAE"/>
    <w:rsid w:val="003802FB"/>
    <w:rsid w:val="003A3C59"/>
    <w:rsid w:val="003B7C47"/>
    <w:rsid w:val="003C0706"/>
    <w:rsid w:val="003C2FB2"/>
    <w:rsid w:val="003D73A1"/>
    <w:rsid w:val="003E1399"/>
    <w:rsid w:val="003E6B8B"/>
    <w:rsid w:val="003E7EB2"/>
    <w:rsid w:val="003F2B66"/>
    <w:rsid w:val="004008D4"/>
    <w:rsid w:val="004113C7"/>
    <w:rsid w:val="004170A1"/>
    <w:rsid w:val="00491C25"/>
    <w:rsid w:val="00494A06"/>
    <w:rsid w:val="0049756D"/>
    <w:rsid w:val="00497714"/>
    <w:rsid w:val="004A2B26"/>
    <w:rsid w:val="004B08F1"/>
    <w:rsid w:val="004B14C8"/>
    <w:rsid w:val="004B2D72"/>
    <w:rsid w:val="004C417D"/>
    <w:rsid w:val="004E0DC8"/>
    <w:rsid w:val="004E18EF"/>
    <w:rsid w:val="004E4637"/>
    <w:rsid w:val="00525604"/>
    <w:rsid w:val="005309F8"/>
    <w:rsid w:val="00536F98"/>
    <w:rsid w:val="005415E3"/>
    <w:rsid w:val="00555F60"/>
    <w:rsid w:val="00556EEE"/>
    <w:rsid w:val="00567167"/>
    <w:rsid w:val="005A27FA"/>
    <w:rsid w:val="005A78CC"/>
    <w:rsid w:val="005B1962"/>
    <w:rsid w:val="005B1E02"/>
    <w:rsid w:val="005B5BF5"/>
    <w:rsid w:val="005C195C"/>
    <w:rsid w:val="005C42AB"/>
    <w:rsid w:val="00613636"/>
    <w:rsid w:val="006266C6"/>
    <w:rsid w:val="00637C96"/>
    <w:rsid w:val="00637D4B"/>
    <w:rsid w:val="00650CE2"/>
    <w:rsid w:val="00653502"/>
    <w:rsid w:val="00656523"/>
    <w:rsid w:val="0067131F"/>
    <w:rsid w:val="00671F91"/>
    <w:rsid w:val="00682F6D"/>
    <w:rsid w:val="006831EE"/>
    <w:rsid w:val="006A1AF6"/>
    <w:rsid w:val="006A3136"/>
    <w:rsid w:val="006C6E8A"/>
    <w:rsid w:val="006D401A"/>
    <w:rsid w:val="006E4A31"/>
    <w:rsid w:val="007105CD"/>
    <w:rsid w:val="00730B70"/>
    <w:rsid w:val="00753378"/>
    <w:rsid w:val="00766A7D"/>
    <w:rsid w:val="00770AD0"/>
    <w:rsid w:val="0079207F"/>
    <w:rsid w:val="00792ED3"/>
    <w:rsid w:val="00795714"/>
    <w:rsid w:val="007A1D09"/>
    <w:rsid w:val="007B2C25"/>
    <w:rsid w:val="007C23BC"/>
    <w:rsid w:val="007E75C7"/>
    <w:rsid w:val="00826B89"/>
    <w:rsid w:val="00827CED"/>
    <w:rsid w:val="00830038"/>
    <w:rsid w:val="00840AFE"/>
    <w:rsid w:val="0087378F"/>
    <w:rsid w:val="0087607C"/>
    <w:rsid w:val="008A15DA"/>
    <w:rsid w:val="008A3940"/>
    <w:rsid w:val="008D5AEB"/>
    <w:rsid w:val="008E2F93"/>
    <w:rsid w:val="00900A30"/>
    <w:rsid w:val="00911DA9"/>
    <w:rsid w:val="0093322E"/>
    <w:rsid w:val="00940840"/>
    <w:rsid w:val="009558D2"/>
    <w:rsid w:val="009761B4"/>
    <w:rsid w:val="009869E6"/>
    <w:rsid w:val="009A6131"/>
    <w:rsid w:val="009A6EDA"/>
    <w:rsid w:val="009D40F6"/>
    <w:rsid w:val="009D5D6A"/>
    <w:rsid w:val="009F4B7E"/>
    <w:rsid w:val="00A072BB"/>
    <w:rsid w:val="00A22ADE"/>
    <w:rsid w:val="00A549B3"/>
    <w:rsid w:val="00A61B9A"/>
    <w:rsid w:val="00A67CB1"/>
    <w:rsid w:val="00A74DBA"/>
    <w:rsid w:val="00A777BD"/>
    <w:rsid w:val="00A81D9E"/>
    <w:rsid w:val="00A841C8"/>
    <w:rsid w:val="00A85854"/>
    <w:rsid w:val="00AA466B"/>
    <w:rsid w:val="00AC316A"/>
    <w:rsid w:val="00AD5D93"/>
    <w:rsid w:val="00AD68E6"/>
    <w:rsid w:val="00AF178D"/>
    <w:rsid w:val="00AF19DF"/>
    <w:rsid w:val="00AF458D"/>
    <w:rsid w:val="00B07A91"/>
    <w:rsid w:val="00B1195E"/>
    <w:rsid w:val="00B13B6A"/>
    <w:rsid w:val="00B202A9"/>
    <w:rsid w:val="00B205CA"/>
    <w:rsid w:val="00B22AFD"/>
    <w:rsid w:val="00B2569A"/>
    <w:rsid w:val="00B305B0"/>
    <w:rsid w:val="00B31898"/>
    <w:rsid w:val="00B37EA8"/>
    <w:rsid w:val="00B5266B"/>
    <w:rsid w:val="00B55C74"/>
    <w:rsid w:val="00B577EB"/>
    <w:rsid w:val="00B61D80"/>
    <w:rsid w:val="00B66E4D"/>
    <w:rsid w:val="00B71D9A"/>
    <w:rsid w:val="00B9469D"/>
    <w:rsid w:val="00BD2112"/>
    <w:rsid w:val="00BE4C30"/>
    <w:rsid w:val="00BE7068"/>
    <w:rsid w:val="00BF00D6"/>
    <w:rsid w:val="00BF428C"/>
    <w:rsid w:val="00C058D0"/>
    <w:rsid w:val="00C31E5B"/>
    <w:rsid w:val="00C403B5"/>
    <w:rsid w:val="00C405FD"/>
    <w:rsid w:val="00C47565"/>
    <w:rsid w:val="00C507B7"/>
    <w:rsid w:val="00C53FC6"/>
    <w:rsid w:val="00C55AFD"/>
    <w:rsid w:val="00C728AA"/>
    <w:rsid w:val="00C867FF"/>
    <w:rsid w:val="00C878B4"/>
    <w:rsid w:val="00CA11CE"/>
    <w:rsid w:val="00CA6CAD"/>
    <w:rsid w:val="00CB27DD"/>
    <w:rsid w:val="00CC6E1B"/>
    <w:rsid w:val="00CE33C4"/>
    <w:rsid w:val="00CF2D6D"/>
    <w:rsid w:val="00CF605C"/>
    <w:rsid w:val="00D12805"/>
    <w:rsid w:val="00D3238C"/>
    <w:rsid w:val="00D34833"/>
    <w:rsid w:val="00D440E6"/>
    <w:rsid w:val="00D46227"/>
    <w:rsid w:val="00D47E9E"/>
    <w:rsid w:val="00D52AE5"/>
    <w:rsid w:val="00D66807"/>
    <w:rsid w:val="00D71198"/>
    <w:rsid w:val="00D819A4"/>
    <w:rsid w:val="00D8257B"/>
    <w:rsid w:val="00D85D1A"/>
    <w:rsid w:val="00D86D95"/>
    <w:rsid w:val="00D960E9"/>
    <w:rsid w:val="00DA3C2A"/>
    <w:rsid w:val="00DB1BE4"/>
    <w:rsid w:val="00DE37B8"/>
    <w:rsid w:val="00DE7174"/>
    <w:rsid w:val="00DF5860"/>
    <w:rsid w:val="00DF6C6F"/>
    <w:rsid w:val="00E00A53"/>
    <w:rsid w:val="00E00FF1"/>
    <w:rsid w:val="00E03E6A"/>
    <w:rsid w:val="00E10DFA"/>
    <w:rsid w:val="00E12D7E"/>
    <w:rsid w:val="00E30282"/>
    <w:rsid w:val="00E359E8"/>
    <w:rsid w:val="00E44709"/>
    <w:rsid w:val="00E72BE3"/>
    <w:rsid w:val="00E75856"/>
    <w:rsid w:val="00E9385B"/>
    <w:rsid w:val="00EB6350"/>
    <w:rsid w:val="00ED19A8"/>
    <w:rsid w:val="00EF14A3"/>
    <w:rsid w:val="00EF1F06"/>
    <w:rsid w:val="00F0017D"/>
    <w:rsid w:val="00F008D9"/>
    <w:rsid w:val="00F23EF6"/>
    <w:rsid w:val="00F2438A"/>
    <w:rsid w:val="00F312DB"/>
    <w:rsid w:val="00F41728"/>
    <w:rsid w:val="00F42E20"/>
    <w:rsid w:val="00F57B64"/>
    <w:rsid w:val="00F66C05"/>
    <w:rsid w:val="00FA6480"/>
    <w:rsid w:val="00FC0AB6"/>
    <w:rsid w:val="00FC5D0E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6B1"/>
  <w15:docId w15:val="{2D489DB8-A82B-48E9-B2FF-A024164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82"/>
  </w:style>
  <w:style w:type="paragraph" w:styleId="Footer">
    <w:name w:val="footer"/>
    <w:basedOn w:val="Normal"/>
    <w:link w:val="Foot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82"/>
  </w:style>
  <w:style w:type="paragraph" w:styleId="BalloonText">
    <w:name w:val="Balloon Text"/>
    <w:basedOn w:val="Normal"/>
    <w:link w:val="BalloonTextChar"/>
    <w:uiPriority w:val="99"/>
    <w:semiHidden/>
    <w:unhideWhenUsed/>
    <w:rsid w:val="00316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22A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40D"/>
    <w:pPr>
      <w:ind w:left="720"/>
      <w:contextualSpacing/>
    </w:pPr>
  </w:style>
  <w:style w:type="character" w:styleId="Hyperlink">
    <w:name w:val="Hyperlink"/>
    <w:basedOn w:val="DefaultParagraphFont"/>
    <w:unhideWhenUsed/>
    <w:rsid w:val="00BE5D0C"/>
    <w:rPr>
      <w:color w:val="0000FF"/>
      <w:u w:val="single"/>
    </w:rPr>
  </w:style>
  <w:style w:type="character" w:customStyle="1" w:styleId="st">
    <w:name w:val="st"/>
    <w:basedOn w:val="DefaultParagraphFont"/>
    <w:rsid w:val="00961CA9"/>
  </w:style>
  <w:style w:type="paragraph" w:customStyle="1" w:styleId="TableParagraph">
    <w:name w:val="Table Paragraph"/>
    <w:basedOn w:val="Normal"/>
    <w:uiPriority w:val="1"/>
    <w:qFormat/>
    <w:rsid w:val="00A61DF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476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agencies">
    <w:name w:val="agencies"/>
    <w:basedOn w:val="DefaultParagraphFont"/>
    <w:rsid w:val="003B7C47"/>
  </w:style>
  <w:style w:type="character" w:customStyle="1" w:styleId="page-range">
    <w:name w:val="page-range"/>
    <w:basedOn w:val="DefaultParagraphFont"/>
    <w:rsid w:val="003B7C47"/>
  </w:style>
  <w:style w:type="character" w:styleId="FollowedHyperlink">
    <w:name w:val="FollowedHyperlink"/>
    <w:basedOn w:val="DefaultParagraphFont"/>
    <w:uiPriority w:val="99"/>
    <w:semiHidden/>
    <w:unhideWhenUsed/>
    <w:rsid w:val="006831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75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65OVsc05nXkw+XtxEAEDyN62Q==">AMUW2mUrdVomYtf1dcM2r9F0xOPi0Grp7gj5c9J9Yz6ky22cXp15NoiNeCm9oEXluJv7GAmeGKtvqJMfqdOhc2W6AUsf2EQblXWyYvcrNF7Bxpk/dz6BEzQyYID/0xEld5q7kx3W417B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H. Bishop</dc:creator>
  <cp:lastModifiedBy>Jamie H. Bishop</cp:lastModifiedBy>
  <cp:revision>21</cp:revision>
  <dcterms:created xsi:type="dcterms:W3CDTF">2026-01-26T22:32:00Z</dcterms:created>
  <dcterms:modified xsi:type="dcterms:W3CDTF">2026-02-24T00:29:00Z</dcterms:modified>
</cp:coreProperties>
</file>