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C2DE" w14:textId="1141D573" w:rsidR="004C417D" w:rsidRPr="00EC764B" w:rsidRDefault="00EC764B" w:rsidP="00555F60">
      <w:pPr>
        <w:rPr>
          <w:rFonts w:ascii="Avenir LT Std 35 Light" w:eastAsia="Avenir" w:hAnsi="Avenir LT Std 35 Light" w:cstheme="minorHAnsi"/>
        </w:rPr>
      </w:pPr>
      <w:r w:rsidRPr="00EC764B">
        <w:rPr>
          <w:rFonts w:ascii="Avenir LT Std 35 Light" w:eastAsia="Avenir" w:hAnsi="Avenir LT Std 35 Light" w:cstheme="minorHAnsi"/>
        </w:rPr>
        <w:t>Attendees</w:t>
      </w:r>
      <w:r w:rsidR="009A6131" w:rsidRPr="00EC764B">
        <w:rPr>
          <w:rFonts w:ascii="Avenir LT Std 35 Light" w:eastAsia="Avenir" w:hAnsi="Avenir LT Std 35 Light" w:cstheme="minorHAnsi"/>
        </w:rPr>
        <w:t>:</w:t>
      </w:r>
    </w:p>
    <w:p w14:paraId="0E95605F" w14:textId="77777777" w:rsidR="004C417D" w:rsidRPr="00EC764B" w:rsidRDefault="004C417D">
      <w:pPr>
        <w:rPr>
          <w:rFonts w:ascii="Avenir LT Std 35 Light" w:eastAsia="Avenir" w:hAnsi="Avenir LT Std 35 Light" w:cstheme="minorHAnsi"/>
          <w:sz w:val="26"/>
          <w:szCs w:val="28"/>
        </w:rPr>
      </w:pPr>
    </w:p>
    <w:tbl>
      <w:tblPr>
        <w:tblStyle w:val="a0"/>
        <w:tblW w:w="9720" w:type="dxa"/>
        <w:tblInd w:w="-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55"/>
        <w:gridCol w:w="4965"/>
      </w:tblGrid>
      <w:tr w:rsidR="00EC764B" w:rsidRPr="00EC764B" w14:paraId="193CB0E2" w14:textId="77777777" w:rsidTr="00CA6CAD">
        <w:trPr>
          <w:trHeight w:val="281"/>
        </w:trPr>
        <w:tc>
          <w:tcPr>
            <w:tcW w:w="4755" w:type="dxa"/>
          </w:tcPr>
          <w:p w14:paraId="139EDCF3" w14:textId="77777777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Bishop, Jamie (UCSB EHS BSO)</w:t>
            </w:r>
          </w:p>
        </w:tc>
        <w:tc>
          <w:tcPr>
            <w:tcW w:w="4965" w:type="dxa"/>
          </w:tcPr>
          <w:p w14:paraId="508F0196" w14:textId="71C1AC53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Lynch, Earl (Unaffiliated)</w:t>
            </w:r>
          </w:p>
        </w:tc>
      </w:tr>
      <w:tr w:rsidR="00EC764B" w:rsidRPr="00EC764B" w14:paraId="502C390B" w14:textId="77777777" w:rsidTr="00CA6CAD">
        <w:trPr>
          <w:trHeight w:val="281"/>
        </w:trPr>
        <w:tc>
          <w:tcPr>
            <w:tcW w:w="4755" w:type="dxa"/>
          </w:tcPr>
          <w:p w14:paraId="485A9C54" w14:textId="77777777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 xml:space="preserve">Blakemore, </w:t>
            </w:r>
            <w:proofErr w:type="spellStart"/>
            <w:r w:rsidRPr="00EC764B">
              <w:rPr>
                <w:rFonts w:ascii="Avenir LT Std 35 Light" w:eastAsia="Avenir" w:hAnsi="Avenir LT Std 35 Light" w:cstheme="minorHAnsi"/>
              </w:rPr>
              <w:t>Melodie</w:t>
            </w:r>
            <w:proofErr w:type="spellEnd"/>
            <w:r w:rsidRPr="00EC764B">
              <w:rPr>
                <w:rFonts w:ascii="Avenir LT Std 35 Light" w:eastAsia="Avenir" w:hAnsi="Avenir LT Std 35 Light" w:cstheme="minorHAnsi"/>
              </w:rPr>
              <w:t xml:space="preserve"> (UCSB OR)</w:t>
            </w:r>
          </w:p>
        </w:tc>
        <w:tc>
          <w:tcPr>
            <w:tcW w:w="4965" w:type="dxa"/>
          </w:tcPr>
          <w:p w14:paraId="572C0E44" w14:textId="1F2C4AF8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Ma, Zach (UCSB MCDB; Vice Chair)</w:t>
            </w:r>
          </w:p>
        </w:tc>
      </w:tr>
      <w:tr w:rsidR="00EC764B" w:rsidRPr="00EC764B" w14:paraId="6D81E89E" w14:textId="77777777" w:rsidTr="00CA6CAD">
        <w:trPr>
          <w:trHeight w:val="281"/>
        </w:trPr>
        <w:tc>
          <w:tcPr>
            <w:tcW w:w="4755" w:type="dxa"/>
          </w:tcPr>
          <w:p w14:paraId="4B953BE1" w14:textId="77777777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Cooley, Ashley (Unaffiliated)</w:t>
            </w:r>
          </w:p>
        </w:tc>
        <w:tc>
          <w:tcPr>
            <w:tcW w:w="4965" w:type="dxa"/>
          </w:tcPr>
          <w:p w14:paraId="3726FB42" w14:textId="0144C7AA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Mahan, Michael (UCSB MCDB; Chair)</w:t>
            </w:r>
          </w:p>
        </w:tc>
      </w:tr>
      <w:tr w:rsidR="00EC764B" w:rsidRPr="00EC764B" w14:paraId="3E515812" w14:textId="77777777" w:rsidTr="00CA6CAD">
        <w:trPr>
          <w:trHeight w:val="281"/>
        </w:trPr>
        <w:tc>
          <w:tcPr>
            <w:tcW w:w="4755" w:type="dxa"/>
          </w:tcPr>
          <w:p w14:paraId="2BC5E6D7" w14:textId="77777777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>Garcia, Manuel (UCSB ARC)</w:t>
            </w:r>
          </w:p>
        </w:tc>
        <w:tc>
          <w:tcPr>
            <w:tcW w:w="4965" w:type="dxa"/>
          </w:tcPr>
          <w:p w14:paraId="6235A03E" w14:textId="46AC87BE" w:rsidR="00EC764B" w:rsidRPr="00EC764B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</w:rPr>
            </w:pPr>
            <w:r w:rsidRPr="00EC764B">
              <w:rPr>
                <w:rFonts w:ascii="Avenir LT Std 35 Light" w:eastAsia="Avenir" w:hAnsi="Avenir LT Std 35 Light" w:cstheme="minorHAnsi"/>
              </w:rPr>
              <w:t xml:space="preserve">Smith, </w:t>
            </w:r>
            <w:proofErr w:type="spellStart"/>
            <w:r w:rsidRPr="00EC764B">
              <w:rPr>
                <w:rFonts w:ascii="Avenir LT Std 35 Light" w:eastAsia="Avenir" w:hAnsi="Avenir LT Std 35 Light" w:cstheme="minorHAnsi"/>
              </w:rPr>
              <w:t>Ikuko</w:t>
            </w:r>
            <w:proofErr w:type="spellEnd"/>
            <w:r w:rsidRPr="00EC764B">
              <w:rPr>
                <w:rFonts w:ascii="Avenir LT Std 35 Light" w:eastAsia="Avenir" w:hAnsi="Avenir LT Std 35 Light" w:cstheme="minorHAnsi"/>
              </w:rPr>
              <w:t xml:space="preserve"> (UCSB MCDB and P&amp;BS)</w:t>
            </w:r>
          </w:p>
        </w:tc>
      </w:tr>
      <w:tr w:rsidR="00EC764B" w:rsidRPr="00322184" w14:paraId="23399EBF" w14:textId="77777777" w:rsidTr="00CA6CAD">
        <w:trPr>
          <w:trHeight w:val="281"/>
        </w:trPr>
        <w:tc>
          <w:tcPr>
            <w:tcW w:w="4755" w:type="dxa"/>
          </w:tcPr>
          <w:p w14:paraId="51AC7372" w14:textId="0FFB5E2C" w:rsidR="00EC764B" w:rsidRPr="00322184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  <w:sz w:val="20"/>
                <w:szCs w:val="20"/>
              </w:rPr>
            </w:pPr>
          </w:p>
        </w:tc>
        <w:tc>
          <w:tcPr>
            <w:tcW w:w="4965" w:type="dxa"/>
          </w:tcPr>
          <w:p w14:paraId="5FD5AC23" w14:textId="7589EAB7" w:rsidR="00EC764B" w:rsidRPr="00322184" w:rsidRDefault="00EC764B" w:rsidP="00EC764B">
            <w:pPr>
              <w:spacing w:line="276" w:lineRule="auto"/>
              <w:rPr>
                <w:rFonts w:ascii="Avenir LT Std 35 Light" w:eastAsia="Avenir" w:hAnsi="Avenir LT Std 35 Light" w:cstheme="minorHAnsi"/>
                <w:sz w:val="20"/>
                <w:szCs w:val="20"/>
              </w:rPr>
            </w:pPr>
          </w:p>
        </w:tc>
      </w:tr>
    </w:tbl>
    <w:p w14:paraId="272854EC" w14:textId="0CE56377" w:rsidR="00EC764B" w:rsidRDefault="00EC764B" w:rsidP="006E0F70">
      <w:pPr>
        <w:pBdr>
          <w:top w:val="nil"/>
          <w:left w:val="nil"/>
          <w:bottom w:val="nil"/>
          <w:right w:val="nil"/>
          <w:between w:val="nil"/>
        </w:pBdr>
        <w:rPr>
          <w:rFonts w:eastAsia="Avenir"/>
          <w:b/>
          <w:color w:val="000000"/>
        </w:rPr>
      </w:pPr>
      <w:bookmarkStart w:id="0" w:name="_heading=h.30j0zll" w:colFirst="0" w:colLast="0"/>
      <w:bookmarkEnd w:id="0"/>
      <w:r>
        <w:rPr>
          <w:rFonts w:eastAsia="Avenir"/>
          <w:b/>
          <w:color w:val="000000"/>
        </w:rPr>
        <w:t xml:space="preserve">Called to order 3:02 pm. </w:t>
      </w:r>
    </w:p>
    <w:p w14:paraId="57258ACB" w14:textId="77777777" w:rsidR="00EC764B" w:rsidRDefault="00EC764B" w:rsidP="006E0F70">
      <w:pPr>
        <w:pBdr>
          <w:top w:val="nil"/>
          <w:left w:val="nil"/>
          <w:bottom w:val="nil"/>
          <w:right w:val="nil"/>
          <w:between w:val="nil"/>
        </w:pBdr>
        <w:rPr>
          <w:rFonts w:eastAsia="Avenir"/>
          <w:b/>
          <w:color w:val="000000"/>
        </w:rPr>
      </w:pPr>
    </w:p>
    <w:p w14:paraId="3B5102AF" w14:textId="087C6481" w:rsidR="004C417D" w:rsidRPr="00164652" w:rsidRDefault="009A6131" w:rsidP="006E0F70">
      <w:pPr>
        <w:pBdr>
          <w:top w:val="nil"/>
          <w:left w:val="nil"/>
          <w:bottom w:val="nil"/>
          <w:right w:val="nil"/>
          <w:between w:val="nil"/>
        </w:pBdr>
        <w:rPr>
          <w:rFonts w:eastAsia="Avenir"/>
          <w:b/>
          <w:color w:val="000000"/>
        </w:rPr>
      </w:pPr>
      <w:r w:rsidRPr="00164652">
        <w:rPr>
          <w:rFonts w:eastAsia="Avenir"/>
          <w:b/>
          <w:color w:val="000000"/>
        </w:rPr>
        <w:t>Approval of minutes</w:t>
      </w:r>
    </w:p>
    <w:p w14:paraId="55210419" w14:textId="77777777" w:rsidR="00EC764B" w:rsidRDefault="00EC764B" w:rsidP="006E0F70">
      <w:pPr>
        <w:rPr>
          <w:rFonts w:eastAsia="Avenir"/>
        </w:rPr>
      </w:pPr>
      <w:r>
        <w:rPr>
          <w:rFonts w:eastAsia="Avenir"/>
        </w:rPr>
        <w:t xml:space="preserve">The Committee approved the minutes for the </w:t>
      </w:r>
      <w:r w:rsidR="009A6131" w:rsidRPr="00164652">
        <w:rPr>
          <w:rFonts w:eastAsia="Avenir"/>
        </w:rPr>
        <w:t xml:space="preserve">IBC meeting of </w:t>
      </w:r>
      <w:r w:rsidR="00C405FD" w:rsidRPr="00164652">
        <w:rPr>
          <w:rFonts w:eastAsia="Avenir"/>
        </w:rPr>
        <w:t>September 22</w:t>
      </w:r>
      <w:r w:rsidR="009A6131" w:rsidRPr="00164652">
        <w:rPr>
          <w:rFonts w:eastAsia="Avenir"/>
        </w:rPr>
        <w:t>, 202</w:t>
      </w:r>
      <w:r w:rsidR="001C1D0D" w:rsidRPr="00164652">
        <w:rPr>
          <w:rFonts w:eastAsia="Avenir"/>
        </w:rPr>
        <w:t>5</w:t>
      </w:r>
      <w:r>
        <w:rPr>
          <w:rFonts w:eastAsia="Avenir"/>
        </w:rPr>
        <w:t xml:space="preserve">. </w:t>
      </w:r>
    </w:p>
    <w:p w14:paraId="036FDAE8" w14:textId="77777777" w:rsidR="00EC764B" w:rsidRDefault="00EC764B" w:rsidP="00EC764B">
      <w:pPr>
        <w:rPr>
          <w:rFonts w:ascii="Avenir LT Std 35 Light" w:eastAsia="Avenir" w:hAnsi="Avenir LT Std 35 Light" w:cstheme="minorHAnsi"/>
        </w:rPr>
      </w:pPr>
      <w:r w:rsidRPr="0078381B">
        <w:rPr>
          <w:rFonts w:ascii="Avenir LT Std 35 Light" w:eastAsia="Avenir" w:hAnsi="Avenir LT Std 35 Light" w:cstheme="minorHAnsi"/>
        </w:rPr>
        <w:t xml:space="preserve">Those not in attendance abstained from voting. </w:t>
      </w:r>
    </w:p>
    <w:p w14:paraId="273237D3" w14:textId="1785E32B" w:rsidR="00084C5D" w:rsidRPr="00EC764B" w:rsidRDefault="00084C5D" w:rsidP="00EC764B">
      <w:pPr>
        <w:rPr>
          <w:rFonts w:eastAsia="Avenir"/>
        </w:rPr>
      </w:pPr>
    </w:p>
    <w:p w14:paraId="2DA1CB69" w14:textId="66667A49" w:rsidR="00C405FD" w:rsidRPr="006E0F70" w:rsidRDefault="00024E78" w:rsidP="006E0F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</w:rPr>
      </w:pPr>
      <w:r w:rsidRPr="006E0F70">
        <w:rPr>
          <w:rFonts w:eastAsia="Avenir"/>
          <w:b/>
          <w:color w:val="000000"/>
        </w:rPr>
        <w:t>New Biological Use Authorization</w:t>
      </w:r>
    </w:p>
    <w:p w14:paraId="6A728911" w14:textId="29D62840" w:rsidR="00C405FD" w:rsidRPr="00024FB0" w:rsidRDefault="00C405FD" w:rsidP="006E0F7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</w:rPr>
      </w:pPr>
      <w:r w:rsidRPr="00024FB0">
        <w:rPr>
          <w:rFonts w:asciiTheme="minorHAnsi" w:hAnsiTheme="minorHAnsi" w:cstheme="minorHAnsi"/>
        </w:rPr>
        <w:t xml:space="preserve">BUA 2025-14, “HEK Cells for Demonstrating Beta-Catenin Localization” </w:t>
      </w:r>
    </w:p>
    <w:p w14:paraId="4A657C50" w14:textId="67375443" w:rsidR="00B302A0" w:rsidRDefault="00B302A0" w:rsidP="006E0F70">
      <w:r>
        <w:rPr>
          <w:rFonts w:asciiTheme="minorHAnsi" w:hAnsiTheme="minorHAnsi" w:cstheme="minorHAnsi"/>
        </w:rPr>
        <w:t>The PI will obtain cells</w:t>
      </w:r>
      <w:r w:rsidR="00171DBF">
        <w:rPr>
          <w:rFonts w:asciiTheme="minorHAnsi" w:hAnsiTheme="minorHAnsi" w:cstheme="minorHAnsi"/>
        </w:rPr>
        <w:t xml:space="preserve"> that have been</w:t>
      </w:r>
      <w:r>
        <w:rPr>
          <w:rFonts w:asciiTheme="minorHAnsi" w:hAnsiTheme="minorHAnsi" w:cstheme="minorHAnsi"/>
        </w:rPr>
        <w:t xml:space="preserve"> transduced to express fluorescent beta-catenin from a colleague at UCSB for a laboratory class on </w:t>
      </w:r>
      <w:r>
        <w:t xml:space="preserve">transfection </w:t>
      </w:r>
      <w:r>
        <w:t xml:space="preserve">and </w:t>
      </w:r>
      <w:r>
        <w:t xml:space="preserve">the role of beta-catenin in cell behavior. </w:t>
      </w:r>
    </w:p>
    <w:p w14:paraId="1F081A68" w14:textId="339937AC" w:rsidR="00EC764B" w:rsidRPr="00024FB0" w:rsidRDefault="00EC764B" w:rsidP="006E0F70">
      <w:pPr>
        <w:rPr>
          <w:rFonts w:asciiTheme="minorHAnsi" w:hAnsiTheme="minorHAnsi" w:cstheme="minorHAnsi"/>
        </w:rPr>
      </w:pPr>
      <w:r w:rsidRPr="00024FB0">
        <w:rPr>
          <w:rFonts w:asciiTheme="minorHAnsi" w:hAnsiTheme="minorHAnsi" w:cstheme="minorHAnsi"/>
        </w:rPr>
        <w:t xml:space="preserve">The Committee noted that the biosafety cabinet was due for recertification; the </w:t>
      </w:r>
      <w:r w:rsidR="003E030C">
        <w:rPr>
          <w:rFonts w:asciiTheme="minorHAnsi" w:hAnsiTheme="minorHAnsi" w:cstheme="minorHAnsi"/>
        </w:rPr>
        <w:t xml:space="preserve">biosafety cabinet was certified on November 13, 2025. </w:t>
      </w:r>
      <w:r w:rsidRPr="00024FB0">
        <w:rPr>
          <w:rFonts w:asciiTheme="minorHAnsi" w:hAnsiTheme="minorHAnsi" w:cstheme="minorHAnsi"/>
        </w:rPr>
        <w:t xml:space="preserve">The Committee asked about the number of Teaching Assistants supporting the course; </w:t>
      </w:r>
      <w:r w:rsidR="00024FB0" w:rsidRPr="00024FB0">
        <w:rPr>
          <w:rFonts w:asciiTheme="minorHAnsi" w:hAnsiTheme="minorHAnsi" w:cstheme="minorHAnsi"/>
        </w:rPr>
        <w:t xml:space="preserve">the PI </w:t>
      </w:r>
      <w:r w:rsidR="00024FB0">
        <w:rPr>
          <w:rFonts w:asciiTheme="minorHAnsi" w:hAnsiTheme="minorHAnsi" w:cstheme="minorHAnsi"/>
        </w:rPr>
        <w:t xml:space="preserve">replied that she 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will have TAs that </w:t>
      </w:r>
      <w:r w:rsidR="003E030C">
        <w:rPr>
          <w:rFonts w:asciiTheme="minorHAnsi" w:hAnsiTheme="minorHAnsi" w:cstheme="minorHAnsi"/>
          <w:color w:val="222222"/>
          <w:shd w:val="clear" w:color="auto" w:fill="FFFFFF"/>
        </w:rPr>
        <w:t>may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 change every yea</w:t>
      </w:r>
      <w:r w:rsidR="00024FB0"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r, </w:t>
      </w:r>
      <w:r w:rsidR="00024FB0">
        <w:rPr>
          <w:rFonts w:asciiTheme="minorHAnsi" w:hAnsiTheme="minorHAnsi" w:cstheme="minorHAnsi"/>
          <w:color w:val="222222"/>
          <w:shd w:val="clear" w:color="auto" w:fill="FFFFFF"/>
        </w:rPr>
        <w:t xml:space="preserve">provided the names of those </w:t>
      </w:r>
      <w:r w:rsidR="003E030C">
        <w:rPr>
          <w:rFonts w:asciiTheme="minorHAnsi" w:hAnsiTheme="minorHAnsi" w:cstheme="minorHAnsi"/>
          <w:color w:val="222222"/>
          <w:shd w:val="clear" w:color="auto" w:fill="FFFFFF"/>
        </w:rPr>
        <w:t>assisting</w:t>
      </w:r>
      <w:r w:rsidR="00024FB0">
        <w:rPr>
          <w:rFonts w:asciiTheme="minorHAnsi" w:hAnsiTheme="minorHAnsi" w:cstheme="minorHAnsi"/>
          <w:color w:val="222222"/>
          <w:shd w:val="clear" w:color="auto" w:fill="FFFFFF"/>
        </w:rPr>
        <w:t xml:space="preserve"> this quarter, </w:t>
      </w:r>
      <w:r w:rsidR="00024FB0" w:rsidRPr="00024FB0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="00C3628B">
        <w:rPr>
          <w:rFonts w:asciiTheme="minorHAnsi" w:hAnsiTheme="minorHAnsi" w:cstheme="minorHAnsi"/>
          <w:color w:val="222222"/>
          <w:shd w:val="clear" w:color="auto" w:fill="FFFFFF"/>
        </w:rPr>
        <w:t xml:space="preserve"> stated </w:t>
      </w:r>
      <w:r w:rsidR="00024FB0">
        <w:rPr>
          <w:rFonts w:asciiTheme="minorHAnsi" w:hAnsiTheme="minorHAnsi" w:cstheme="minorHAnsi"/>
          <w:color w:val="222222"/>
          <w:shd w:val="clear" w:color="auto" w:fill="FFFFFF"/>
        </w:rPr>
        <w:t xml:space="preserve">that </w:t>
      </w:r>
      <w:r w:rsidR="00024FB0"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she 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will </w:t>
      </w:r>
      <w:r w:rsidR="00024FB0">
        <w:rPr>
          <w:rFonts w:asciiTheme="minorHAnsi" w:hAnsiTheme="minorHAnsi" w:cstheme="minorHAnsi"/>
          <w:color w:val="222222"/>
          <w:shd w:val="clear" w:color="auto" w:fill="FFFFFF"/>
        </w:rPr>
        <w:t xml:space="preserve">ensure documented 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in-lab </w:t>
      </w:r>
      <w:r w:rsidR="00C3628B">
        <w:rPr>
          <w:rFonts w:asciiTheme="minorHAnsi" w:hAnsiTheme="minorHAnsi" w:cstheme="minorHAnsi"/>
          <w:color w:val="222222"/>
          <w:shd w:val="clear" w:color="auto" w:fill="FFFFFF"/>
        </w:rPr>
        <w:t>and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024FB0">
        <w:rPr>
          <w:rFonts w:asciiTheme="minorHAnsi" w:hAnsiTheme="minorHAnsi" w:cstheme="minorHAnsi"/>
          <w:color w:val="222222"/>
          <w:shd w:val="clear" w:color="auto" w:fill="FFFFFF"/>
        </w:rPr>
        <w:t xml:space="preserve">online 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training </w:t>
      </w:r>
      <w:r w:rsidR="00024FB0" w:rsidRPr="00024FB0">
        <w:rPr>
          <w:rFonts w:asciiTheme="minorHAnsi" w:hAnsiTheme="minorHAnsi" w:cstheme="minorHAnsi"/>
          <w:color w:val="222222"/>
          <w:shd w:val="clear" w:color="auto" w:fill="FFFFFF"/>
        </w:rPr>
        <w:t>prior</w:t>
      </w:r>
      <w:r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 to work</w:t>
      </w:r>
      <w:r w:rsidR="00024FB0" w:rsidRPr="00024FB0">
        <w:rPr>
          <w:rFonts w:asciiTheme="minorHAnsi" w:hAnsiTheme="minorHAnsi" w:cstheme="minorHAnsi"/>
          <w:color w:val="222222"/>
          <w:shd w:val="clear" w:color="auto" w:fill="FFFFFF"/>
        </w:rPr>
        <w:t xml:space="preserve">. </w:t>
      </w:r>
    </w:p>
    <w:p w14:paraId="03CF56F3" w14:textId="21ADAE65" w:rsidR="006E0F70" w:rsidRPr="00024FB0" w:rsidRDefault="006E0F70" w:rsidP="006E0F70">
      <w:pPr>
        <w:rPr>
          <w:rFonts w:asciiTheme="minorHAnsi" w:hAnsiTheme="minorHAnsi" w:cstheme="minorHAnsi"/>
        </w:rPr>
      </w:pPr>
      <w:r w:rsidRPr="00024FB0">
        <w:rPr>
          <w:rFonts w:asciiTheme="minorHAnsi" w:hAnsiTheme="minorHAnsi" w:cstheme="minorHAnsi"/>
        </w:rPr>
        <w:t>Training on Biosafety Fundamentals is required once, and training on the Cal/OSHA Bloodborne Pathogens and Aerosol Transmissible Disease Standards is required annually.</w:t>
      </w:r>
    </w:p>
    <w:p w14:paraId="444749EC" w14:textId="76D539E9" w:rsidR="006E0F70" w:rsidRPr="00024FB0" w:rsidRDefault="006E0F70" w:rsidP="006E0F70">
      <w:pPr>
        <w:rPr>
          <w:rFonts w:asciiTheme="minorHAnsi" w:hAnsiTheme="minorHAnsi" w:cstheme="minorHAnsi"/>
        </w:rPr>
      </w:pPr>
      <w:r w:rsidRPr="00024FB0">
        <w:rPr>
          <w:rFonts w:asciiTheme="minorHAnsi" w:hAnsiTheme="minorHAnsi" w:cstheme="minorHAnsi"/>
        </w:rPr>
        <w:t xml:space="preserve">This work is not covered by the NIH Guidelines. </w:t>
      </w:r>
      <w:r w:rsidR="00024FB0" w:rsidRPr="00024FB0">
        <w:rPr>
          <w:rFonts w:asciiTheme="minorHAnsi" w:hAnsiTheme="minorHAnsi" w:cstheme="minorHAnsi"/>
        </w:rPr>
        <w:t>The containment level for this work is BSL2.</w:t>
      </w:r>
      <w:r w:rsidR="00024FB0" w:rsidRPr="00024FB0">
        <w:rPr>
          <w:rFonts w:asciiTheme="minorHAnsi" w:eastAsia="Times New Roman" w:hAnsiTheme="minorHAnsi" w:cstheme="minorHAnsi"/>
          <w:color w:val="222222"/>
        </w:rPr>
        <w:t xml:space="preserve"> The Committee voted to approve 202</w:t>
      </w:r>
      <w:r w:rsidR="00024FB0" w:rsidRPr="00024FB0">
        <w:rPr>
          <w:rFonts w:asciiTheme="minorHAnsi" w:eastAsia="Times New Roman" w:hAnsiTheme="minorHAnsi" w:cstheme="minorHAnsi"/>
          <w:color w:val="222222"/>
        </w:rPr>
        <w:t>5</w:t>
      </w:r>
      <w:r w:rsidR="00024FB0" w:rsidRPr="00024FB0">
        <w:rPr>
          <w:rFonts w:asciiTheme="minorHAnsi" w:eastAsia="Times New Roman" w:hAnsiTheme="minorHAnsi" w:cstheme="minorHAnsi"/>
          <w:color w:val="222222"/>
        </w:rPr>
        <w:t>-</w:t>
      </w:r>
      <w:r w:rsidR="00024FB0" w:rsidRPr="00024FB0">
        <w:rPr>
          <w:rFonts w:asciiTheme="minorHAnsi" w:eastAsia="Times New Roman" w:hAnsiTheme="minorHAnsi" w:cstheme="minorHAnsi"/>
          <w:color w:val="222222"/>
        </w:rPr>
        <w:t>14.</w:t>
      </w:r>
    </w:p>
    <w:p w14:paraId="7766A395" w14:textId="77777777" w:rsidR="00257A50" w:rsidRPr="00024FB0" w:rsidRDefault="00257A50" w:rsidP="00B71D9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5A0D60DD" w14:textId="0A135C8A" w:rsidR="00164652" w:rsidRPr="006E0F70" w:rsidRDefault="00257A50" w:rsidP="006E0F70">
      <w:pPr>
        <w:rPr>
          <w:rFonts w:eastAsia="Avenir"/>
          <w:color w:val="000000"/>
          <w:highlight w:val="white"/>
        </w:rPr>
      </w:pPr>
      <w:r w:rsidRPr="006E0F70">
        <w:rPr>
          <w:rFonts w:eastAsia="Avenir"/>
          <w:b/>
          <w:color w:val="000000"/>
        </w:rPr>
        <w:t xml:space="preserve">Biological Use Authorization </w:t>
      </w:r>
      <w:r w:rsidR="00164652" w:rsidRPr="006E0F70">
        <w:rPr>
          <w:rFonts w:eastAsia="Avenir"/>
          <w:b/>
          <w:color w:val="000000"/>
        </w:rPr>
        <w:t>Renewal</w:t>
      </w:r>
    </w:p>
    <w:p w14:paraId="38D11E95" w14:textId="2A051053" w:rsidR="00257A50" w:rsidRPr="006E0F70" w:rsidRDefault="00164652" w:rsidP="006E0F70">
      <w:pPr>
        <w:rPr>
          <w:rFonts w:eastAsia="Avenir"/>
          <w:color w:val="000000"/>
          <w:highlight w:val="white"/>
        </w:rPr>
      </w:pPr>
      <w:r w:rsidRPr="006E0F70">
        <w:rPr>
          <w:color w:val="000000"/>
        </w:rPr>
        <w:t>BUA 2025-16, “Molecular Mechanisms Driving Cell Motility, Phagocytosis and Apoptosis Reversal</w:t>
      </w:r>
      <w:r w:rsidRPr="006E0F70">
        <w:rPr>
          <w:rFonts w:eastAsia="Avenir"/>
          <w:b/>
          <w:color w:val="000000"/>
        </w:rPr>
        <w:t xml:space="preserve">” </w:t>
      </w:r>
    </w:p>
    <w:p w14:paraId="5D8E70C1" w14:textId="1306CDDF" w:rsidR="00707B7D" w:rsidRDefault="00171DBF" w:rsidP="00ED5F38">
      <w:pPr>
        <w:rPr>
          <w:rFonts w:ascii="Avenir LT Std 35 Light" w:hAnsi="Avenir LT Std 35 Light" w:cs="Tahoma"/>
        </w:rPr>
      </w:pPr>
      <w:r>
        <w:t xml:space="preserve">The </w:t>
      </w:r>
      <w:r>
        <w:t xml:space="preserve">research </w:t>
      </w:r>
      <w:r>
        <w:t xml:space="preserve">group screens </w:t>
      </w:r>
      <w:r>
        <w:rPr>
          <w:i/>
        </w:rPr>
        <w:t>Drosophila</w:t>
      </w:r>
      <w:r>
        <w:t xml:space="preserve"> mutant and RNAi lines to identify genes of interest, studies </w:t>
      </w:r>
      <w:proofErr w:type="spellStart"/>
      <w:r w:rsidRPr="000236BC">
        <w:rPr>
          <w:rFonts w:asciiTheme="minorHAnsi" w:hAnsiTheme="minorHAnsi"/>
          <w:color w:val="222222"/>
          <w:highlight w:val="white"/>
        </w:rPr>
        <w:t>Rac</w:t>
      </w:r>
      <w:proofErr w:type="spellEnd"/>
      <w:r w:rsidRPr="000236BC">
        <w:rPr>
          <w:rFonts w:asciiTheme="minorHAnsi" w:hAnsiTheme="minorHAnsi"/>
          <w:color w:val="222222"/>
          <w:highlight w:val="white"/>
        </w:rPr>
        <w:t xml:space="preserve">-enhanced CAR-Ms </w:t>
      </w:r>
      <w:r>
        <w:rPr>
          <w:rFonts w:asciiTheme="minorHAnsi" w:hAnsiTheme="minorHAnsi"/>
          <w:color w:val="222222"/>
          <w:highlight w:val="white"/>
        </w:rPr>
        <w:t>and</w:t>
      </w:r>
      <w:r w:rsidRPr="000236BC">
        <w:rPr>
          <w:rFonts w:asciiTheme="minorHAnsi" w:hAnsiTheme="minorHAnsi"/>
          <w:color w:val="222222"/>
          <w:highlight w:val="white"/>
        </w:rPr>
        <w:t xml:space="preserve"> their ability to engulf and kill cancer cells</w:t>
      </w:r>
      <w:r>
        <w:rPr>
          <w:rFonts w:asciiTheme="minorHAnsi" w:hAnsiTheme="minorHAnsi"/>
          <w:color w:val="222222"/>
          <w:highlight w:val="white"/>
        </w:rPr>
        <w:t xml:space="preserve">, and </w:t>
      </w:r>
      <w:r w:rsidRPr="000236BC">
        <w:rPr>
          <w:rFonts w:asciiTheme="minorHAnsi" w:hAnsiTheme="minorHAnsi"/>
        </w:rPr>
        <w:t xml:space="preserve">seeks to identify which genes </w:t>
      </w:r>
      <w:r>
        <w:rPr>
          <w:rFonts w:asciiTheme="minorHAnsi" w:hAnsiTheme="minorHAnsi"/>
        </w:rPr>
        <w:t xml:space="preserve">may be commonly </w:t>
      </w:r>
      <w:r w:rsidRPr="000236BC">
        <w:rPr>
          <w:rFonts w:asciiTheme="minorHAnsi" w:hAnsiTheme="minorHAnsi"/>
        </w:rPr>
        <w:t xml:space="preserve">involved in reversing apoptosis </w:t>
      </w:r>
      <w:r>
        <w:rPr>
          <w:rFonts w:asciiTheme="minorHAnsi" w:hAnsiTheme="minorHAnsi"/>
        </w:rPr>
        <w:t>in well</w:t>
      </w:r>
      <w:r w:rsidR="00B521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characterized and primary cancer cells. </w:t>
      </w:r>
      <w:r w:rsidRPr="000236BC">
        <w:rPr>
          <w:rFonts w:asciiTheme="minorHAnsi" w:hAnsiTheme="minorHAnsi" w:cs="Arial"/>
          <w:color w:val="222222"/>
          <w:shd w:val="clear" w:color="auto" w:fill="FFFFFF"/>
        </w:rPr>
        <w:t xml:space="preserve">Interactions in tissue culture are probed using 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replication incompetent </w:t>
      </w:r>
      <w:r w:rsidRPr="000236BC">
        <w:rPr>
          <w:rFonts w:asciiTheme="minorHAnsi" w:hAnsiTheme="minorHAnsi" w:cs="Arial"/>
          <w:color w:val="222222"/>
          <w:shd w:val="clear" w:color="auto" w:fill="FFFFFF"/>
        </w:rPr>
        <w:t xml:space="preserve">AAV and LV vectors expressing fluorescent indicators, </w:t>
      </w:r>
      <w:proofErr w:type="spellStart"/>
      <w:r w:rsidRPr="000236BC">
        <w:rPr>
          <w:rFonts w:asciiTheme="minorHAnsi" w:hAnsiTheme="minorHAnsi" w:cs="Arial"/>
        </w:rPr>
        <w:t>shRNAs</w:t>
      </w:r>
      <w:proofErr w:type="spellEnd"/>
      <w:r w:rsidRPr="000236BC">
        <w:rPr>
          <w:rFonts w:asciiTheme="minorHAnsi" w:hAnsiTheme="minorHAnsi" w:cs="Arial"/>
        </w:rPr>
        <w:t xml:space="preserve"> or fluorophore-fusion proteins</w:t>
      </w:r>
      <w:r w:rsidRPr="000236BC">
        <w:rPr>
          <w:rFonts w:asciiTheme="minorHAnsi" w:hAnsiTheme="minorHAnsi" w:cs="Arial"/>
          <w:color w:val="222222"/>
          <w:shd w:val="clear" w:color="auto" w:fill="FFFFFF"/>
        </w:rPr>
        <w:t xml:space="preserve">. </w:t>
      </w:r>
      <w:r w:rsidR="00707B7D">
        <w:rPr>
          <w:rFonts w:ascii="Avenir LT Std 35 Light" w:hAnsi="Avenir LT Std 35 Light" w:cs="Tahoma"/>
        </w:rPr>
        <w:t xml:space="preserve">The Committee reviewed the screening status and handling precautions for the variety of primary tissues that the group </w:t>
      </w:r>
      <w:r w:rsidR="002A3C6D">
        <w:rPr>
          <w:rFonts w:ascii="Avenir LT Std 35 Light" w:hAnsi="Avenir LT Std 35 Light" w:cs="Tahoma"/>
        </w:rPr>
        <w:t>would obtain</w:t>
      </w:r>
      <w:r w:rsidR="00707B7D">
        <w:rPr>
          <w:rFonts w:ascii="Avenir LT Std 35 Light" w:hAnsi="Avenir LT Std 35 Light" w:cs="Tahoma"/>
        </w:rPr>
        <w:t xml:space="preserve">, and agreed that universal precautions are sufficient. </w:t>
      </w:r>
    </w:p>
    <w:p w14:paraId="15EB4519" w14:textId="0B1FC9D4" w:rsidR="00ED5F38" w:rsidRPr="00811E78" w:rsidRDefault="00ED5F38" w:rsidP="00ED5F38">
      <w:pPr>
        <w:rPr>
          <w:rFonts w:ascii="Avenir LT Std 35 Light" w:hAnsi="Avenir LT Std 35 Light" w:cs="Tahoma"/>
        </w:rPr>
      </w:pPr>
      <w:r w:rsidRPr="00811E78">
        <w:rPr>
          <w:rFonts w:ascii="Avenir LT Std 35 Light" w:hAnsi="Avenir LT Std 35 Light" w:cs="Tahoma"/>
        </w:rPr>
        <w:t>Training on</w:t>
      </w:r>
      <w:r>
        <w:rPr>
          <w:rFonts w:ascii="Avenir LT Std 35 Light" w:hAnsi="Avenir LT Std 35 Light" w:cs="Tahoma"/>
        </w:rPr>
        <w:t xml:space="preserve"> Biosafety Fundamentals is required once, and training on</w:t>
      </w:r>
      <w:r w:rsidRPr="00811E78">
        <w:rPr>
          <w:rFonts w:ascii="Avenir LT Std 35 Light" w:hAnsi="Avenir LT Std 35 Light" w:cs="Tahoma"/>
        </w:rPr>
        <w:t xml:space="preserve"> the Cal/OSHA Bloodborne Pathogens and Aerosol Transmissible Disease Standards is required annually.</w:t>
      </w:r>
    </w:p>
    <w:p w14:paraId="3C264F5F" w14:textId="7976552F" w:rsidR="007202E9" w:rsidRPr="00171DBF" w:rsidRDefault="00ED5F38" w:rsidP="00171DBF">
      <w:pPr>
        <w:rPr>
          <w:rFonts w:asciiTheme="minorHAnsi" w:hAnsiTheme="minorHAnsi" w:cstheme="minorHAnsi"/>
        </w:rPr>
      </w:pPr>
      <w:r w:rsidRPr="00811E78">
        <w:rPr>
          <w:rFonts w:ascii="Avenir LT Std 35 Light" w:hAnsi="Avenir LT Std 35 Light" w:cs="Tahoma"/>
        </w:rPr>
        <w:t>This work is covered by NIH Guidelines</w:t>
      </w:r>
      <w:r>
        <w:rPr>
          <w:rFonts w:ascii="Avenir LT Std 35 Light" w:hAnsi="Avenir LT Std 35 Light" w:cs="Tahoma"/>
        </w:rPr>
        <w:t xml:space="preserve"> categories D3 and D4</w:t>
      </w:r>
      <w:r w:rsidRPr="00811E78">
        <w:rPr>
          <w:rFonts w:ascii="Avenir LT Std 35 Light" w:hAnsi="Avenir LT Std 35 Light" w:cs="Tahoma"/>
        </w:rPr>
        <w:t xml:space="preserve">. </w:t>
      </w:r>
      <w:r w:rsidR="00C6490D" w:rsidRPr="00024FB0">
        <w:rPr>
          <w:rFonts w:asciiTheme="minorHAnsi" w:hAnsiTheme="minorHAnsi" w:cstheme="minorHAnsi"/>
        </w:rPr>
        <w:t>The containment level</w:t>
      </w:r>
      <w:r w:rsidR="00171DBF">
        <w:rPr>
          <w:rFonts w:asciiTheme="minorHAnsi" w:hAnsiTheme="minorHAnsi" w:cstheme="minorHAnsi"/>
        </w:rPr>
        <w:t>s</w:t>
      </w:r>
      <w:r w:rsidR="00C6490D" w:rsidRPr="00024FB0">
        <w:rPr>
          <w:rFonts w:asciiTheme="minorHAnsi" w:hAnsiTheme="minorHAnsi" w:cstheme="minorHAnsi"/>
        </w:rPr>
        <w:t xml:space="preserve"> for this work </w:t>
      </w:r>
      <w:r w:rsidR="00171DBF">
        <w:rPr>
          <w:rFonts w:asciiTheme="minorHAnsi" w:hAnsiTheme="minorHAnsi" w:cstheme="minorHAnsi"/>
        </w:rPr>
        <w:t xml:space="preserve">are </w:t>
      </w:r>
      <w:r w:rsidR="00C6490D" w:rsidRPr="00024FB0">
        <w:rPr>
          <w:rFonts w:asciiTheme="minorHAnsi" w:hAnsiTheme="minorHAnsi" w:cstheme="minorHAnsi"/>
        </w:rPr>
        <w:t>BSL2</w:t>
      </w:r>
      <w:r w:rsidR="00171DBF">
        <w:rPr>
          <w:rFonts w:asciiTheme="minorHAnsi" w:hAnsiTheme="minorHAnsi" w:cstheme="minorHAnsi"/>
        </w:rPr>
        <w:t xml:space="preserve"> and arthropod containment level 1</w:t>
      </w:r>
      <w:r w:rsidR="00C6490D" w:rsidRPr="00024FB0">
        <w:rPr>
          <w:rFonts w:asciiTheme="minorHAnsi" w:hAnsiTheme="minorHAnsi" w:cstheme="minorHAnsi"/>
        </w:rPr>
        <w:t>.</w:t>
      </w:r>
      <w:r w:rsidR="00C6490D" w:rsidRPr="00024FB0">
        <w:rPr>
          <w:rFonts w:asciiTheme="minorHAnsi" w:eastAsia="Times New Roman" w:hAnsiTheme="minorHAnsi" w:cstheme="minorHAnsi"/>
          <w:color w:val="222222"/>
        </w:rPr>
        <w:t xml:space="preserve"> The Committee voted to approve 2025-1</w:t>
      </w:r>
      <w:r w:rsidR="00C6490D">
        <w:rPr>
          <w:rFonts w:asciiTheme="minorHAnsi" w:eastAsia="Times New Roman" w:hAnsiTheme="minorHAnsi" w:cstheme="minorHAnsi"/>
          <w:color w:val="222222"/>
        </w:rPr>
        <w:t>6</w:t>
      </w:r>
      <w:r w:rsidR="00C6490D" w:rsidRPr="00024FB0">
        <w:rPr>
          <w:rFonts w:asciiTheme="minorHAnsi" w:eastAsia="Times New Roman" w:hAnsiTheme="minorHAnsi" w:cstheme="minorHAnsi"/>
          <w:color w:val="222222"/>
        </w:rPr>
        <w:t>.</w:t>
      </w:r>
    </w:p>
    <w:p w14:paraId="477A5BF3" w14:textId="77777777" w:rsidR="007202E9" w:rsidRPr="00164652" w:rsidRDefault="007202E9" w:rsidP="00B71D9A">
      <w:pPr>
        <w:autoSpaceDE w:val="0"/>
        <w:autoSpaceDN w:val="0"/>
        <w:adjustRightInd w:val="0"/>
        <w:rPr>
          <w:color w:val="000000"/>
        </w:rPr>
      </w:pPr>
    </w:p>
    <w:p w14:paraId="7AB00225" w14:textId="0D730865" w:rsidR="0049756D" w:rsidRPr="00024FB0" w:rsidRDefault="00C405FD" w:rsidP="006E0F70">
      <w:pPr>
        <w:rPr>
          <w:rFonts w:eastAsia="Avenir"/>
          <w:b/>
          <w:bCs/>
          <w:color w:val="000000" w:themeColor="text1"/>
        </w:rPr>
      </w:pPr>
      <w:r w:rsidRPr="00024FB0">
        <w:rPr>
          <w:b/>
          <w:bCs/>
          <w:color w:val="000000" w:themeColor="text1"/>
        </w:rPr>
        <w:t xml:space="preserve">NIH Biosafety Initiative </w:t>
      </w:r>
    </w:p>
    <w:p w14:paraId="330BE3CF" w14:textId="61C037A4" w:rsidR="00322184" w:rsidRPr="006E0F70" w:rsidRDefault="00024FB0" w:rsidP="006E0F70">
      <w:pPr>
        <w:rPr>
          <w:rFonts w:eastAsia="Avenir"/>
          <w:color w:val="000000" w:themeColor="text1"/>
        </w:rPr>
      </w:pPr>
      <w:r>
        <w:rPr>
          <w:rFonts w:eastAsia="Avenir"/>
          <w:color w:val="000000" w:themeColor="text1"/>
        </w:rPr>
        <w:t>The BSO apprised the Committee of the first of six regional stakeholder</w:t>
      </w:r>
      <w:r w:rsidR="004F499D">
        <w:rPr>
          <w:rFonts w:eastAsia="Avenir"/>
          <w:color w:val="000000" w:themeColor="text1"/>
        </w:rPr>
        <w:t xml:space="preserve"> listening sessions</w:t>
      </w:r>
      <w:r w:rsidR="0015038D">
        <w:rPr>
          <w:rFonts w:eastAsia="Avenir"/>
          <w:color w:val="000000" w:themeColor="text1"/>
        </w:rPr>
        <w:t xml:space="preserve"> held by NIH </w:t>
      </w:r>
      <w:r w:rsidR="004F499D">
        <w:rPr>
          <w:rFonts w:eastAsia="Avenir"/>
          <w:color w:val="000000" w:themeColor="text1"/>
        </w:rPr>
        <w:t xml:space="preserve">on </w:t>
      </w:r>
      <w:r w:rsidR="0015038D">
        <w:rPr>
          <w:rFonts w:eastAsia="Avenir"/>
          <w:color w:val="000000" w:themeColor="text1"/>
        </w:rPr>
        <w:t>“</w:t>
      </w:r>
      <w:r w:rsidR="004F499D">
        <w:rPr>
          <w:rFonts w:eastAsia="Avenir"/>
          <w:color w:val="000000" w:themeColor="text1"/>
        </w:rPr>
        <w:t>Strengthening and Modernizing Biosafety Oversight,</w:t>
      </w:r>
      <w:r w:rsidR="0015038D">
        <w:rPr>
          <w:rFonts w:eastAsia="Avenir"/>
          <w:color w:val="000000" w:themeColor="text1"/>
        </w:rPr>
        <w:t>”</w:t>
      </w:r>
      <w:r w:rsidR="004F499D">
        <w:rPr>
          <w:rFonts w:eastAsia="Avenir"/>
          <w:color w:val="000000" w:themeColor="text1"/>
        </w:rPr>
        <w:t xml:space="preserve"> and that one consensus</w:t>
      </w:r>
      <w:r w:rsidR="009C4FDD">
        <w:rPr>
          <w:rFonts w:eastAsia="Avenir"/>
          <w:color w:val="000000" w:themeColor="text1"/>
        </w:rPr>
        <w:t xml:space="preserve"> voiced by participants</w:t>
      </w:r>
      <w:r w:rsidR="004F499D">
        <w:rPr>
          <w:rFonts w:eastAsia="Avenir"/>
          <w:color w:val="000000" w:themeColor="text1"/>
        </w:rPr>
        <w:t xml:space="preserve"> </w:t>
      </w:r>
      <w:r w:rsidR="00B521D5">
        <w:rPr>
          <w:rFonts w:eastAsia="Avenir"/>
          <w:color w:val="000000" w:themeColor="text1"/>
        </w:rPr>
        <w:t>wa</w:t>
      </w:r>
      <w:r w:rsidR="004F499D">
        <w:rPr>
          <w:rFonts w:eastAsia="Avenir"/>
          <w:color w:val="000000" w:themeColor="text1"/>
        </w:rPr>
        <w:t xml:space="preserve">s to expand oversight to include wild type infectious agents. </w:t>
      </w:r>
    </w:p>
    <w:p w14:paraId="1007C375" w14:textId="2EDBE99D" w:rsidR="00ED5F38" w:rsidRDefault="00ED5F38" w:rsidP="00ED5F38">
      <w:pPr>
        <w:rPr>
          <w:rFonts w:eastAsia="Avenir"/>
        </w:rPr>
      </w:pPr>
    </w:p>
    <w:p w14:paraId="459DFB89" w14:textId="655A6CEE" w:rsidR="00C6490D" w:rsidRPr="00C6490D" w:rsidRDefault="00C6490D" w:rsidP="00ED5F38">
      <w:pPr>
        <w:rPr>
          <w:rFonts w:eastAsia="Avenir"/>
          <w:b/>
          <w:bCs/>
        </w:rPr>
      </w:pPr>
      <w:r w:rsidRPr="00C6490D">
        <w:rPr>
          <w:rFonts w:eastAsia="Avenir"/>
          <w:b/>
          <w:bCs/>
        </w:rPr>
        <w:t xml:space="preserve">Adjourned 3:11 pm. </w:t>
      </w:r>
    </w:p>
    <w:p w14:paraId="5911DE32" w14:textId="77777777" w:rsidR="00C6490D" w:rsidRDefault="00C6490D" w:rsidP="00ED5F38">
      <w:pPr>
        <w:rPr>
          <w:rFonts w:eastAsia="Avenir"/>
        </w:rPr>
      </w:pPr>
    </w:p>
    <w:p w14:paraId="320A6EB2" w14:textId="32EB82DA" w:rsidR="00901F2A" w:rsidRPr="006E0F70" w:rsidRDefault="00901F2A" w:rsidP="00ED5F38">
      <w:pPr>
        <w:rPr>
          <w:rFonts w:ascii="Avenir LT Std 35 Light" w:eastAsia="Times New Roman" w:hAnsi="Avenir LT Std 35 Light"/>
          <w:b/>
          <w:bCs/>
          <w:color w:val="000000"/>
        </w:rPr>
      </w:pPr>
      <w:r w:rsidRPr="006E0F70">
        <w:rPr>
          <w:rFonts w:ascii="Avenir LT Std 35 Light" w:eastAsia="Times New Roman" w:hAnsi="Avenir LT Std 35 Light"/>
          <w:b/>
          <w:bCs/>
          <w:color w:val="000000"/>
        </w:rPr>
        <w:t>BUA Amendments Not Requiring Full Committee Review</w:t>
      </w:r>
    </w:p>
    <w:p w14:paraId="1C0B97F7" w14:textId="2E275795" w:rsidR="00084C5D" w:rsidRDefault="00901F2A" w:rsidP="00ED5F38">
      <w:pPr>
        <w:rPr>
          <w:rFonts w:ascii="Avenir LT Std 35 Light" w:eastAsia="Times New Roman" w:hAnsi="Avenir LT Std 35 Light"/>
          <w:color w:val="000000"/>
        </w:rPr>
      </w:pPr>
      <w:r>
        <w:rPr>
          <w:rFonts w:ascii="Avenir LT Std 35 Light" w:eastAsia="Times New Roman" w:hAnsi="Avenir LT Std 35 Light"/>
          <w:color w:val="000000"/>
        </w:rPr>
        <w:t>BUA 2025-9</w:t>
      </w:r>
      <w:r w:rsidR="000575E6">
        <w:rPr>
          <w:rFonts w:ascii="Avenir LT Std 35 Light" w:eastAsia="Times New Roman" w:hAnsi="Avenir LT Std 35 Light"/>
          <w:color w:val="000000"/>
        </w:rPr>
        <w:t>,</w:t>
      </w:r>
      <w:r>
        <w:rPr>
          <w:rFonts w:ascii="Avenir LT Std 35 Light" w:eastAsia="Times New Roman" w:hAnsi="Avenir LT Std 35 Light"/>
          <w:color w:val="000000"/>
        </w:rPr>
        <w:t xml:space="preserve"> </w:t>
      </w:r>
      <w:r w:rsidR="000575E6">
        <w:rPr>
          <w:rFonts w:ascii="Avenir LT Std 35 Light" w:eastAsia="Times New Roman" w:hAnsi="Avenir LT Std 35 Light"/>
          <w:color w:val="000000"/>
        </w:rPr>
        <w:t>“</w:t>
      </w:r>
      <w:r w:rsidRPr="00901F2A">
        <w:rPr>
          <w:rFonts w:ascii="Avenir LT Std 35 Light" w:eastAsia="Times New Roman" w:hAnsi="Avenir LT Std 35 Light"/>
          <w:color w:val="000000"/>
        </w:rPr>
        <w:t>Role of Dendrites in Sensory Integration and Neural Circuitry for Visual Perception</w:t>
      </w:r>
      <w:r w:rsidR="000575E6">
        <w:rPr>
          <w:rFonts w:ascii="Avenir LT Std 35 Light" w:eastAsia="Times New Roman" w:hAnsi="Avenir LT Std 35 Light"/>
          <w:color w:val="000000"/>
        </w:rPr>
        <w:t xml:space="preserve">,” was amended for an additional transgenic strain from a commercial vendor. </w:t>
      </w:r>
    </w:p>
    <w:p w14:paraId="7AE4F8A0" w14:textId="198755C3" w:rsidR="001D5803" w:rsidRDefault="001D5803" w:rsidP="001D5803">
      <w:pPr>
        <w:rPr>
          <w:b/>
          <w:shd w:val="clear" w:color="auto" w:fill="EFEFEF"/>
        </w:rPr>
      </w:pPr>
      <w:r w:rsidRPr="00085D28">
        <w:rPr>
          <w:rFonts w:ascii="Avenir LT Std 35 Light" w:hAnsi="Avenir LT Std 35 Light" w:cs="Tahoma"/>
        </w:rPr>
        <w:t>This work is covered by NIH Guidelines categories D3, D4 and E3.</w:t>
      </w:r>
      <w:r>
        <w:rPr>
          <w:rFonts w:ascii="Avenir LT Std 35 Light" w:hAnsi="Avenir LT Std 35 Light" w:cs="Tahoma"/>
        </w:rPr>
        <w:t xml:space="preserve"> </w:t>
      </w:r>
      <w:r w:rsidRPr="00085D28">
        <w:rPr>
          <w:rFonts w:ascii="Avenir LT Std 35 Light" w:hAnsi="Avenir LT Std 35 Light"/>
        </w:rPr>
        <w:t xml:space="preserve">The containment level is </w:t>
      </w:r>
      <w:r>
        <w:rPr>
          <w:rFonts w:ascii="Avenir LT Std 35 Light" w:hAnsi="Avenir LT Std 35 Light"/>
        </w:rPr>
        <w:t>BSL1/ABSL1</w:t>
      </w:r>
      <w:r w:rsidRPr="00085D28">
        <w:rPr>
          <w:rFonts w:ascii="Avenir LT Std 35 Light" w:hAnsi="Avenir LT Std 35 Light"/>
        </w:rPr>
        <w:t>.</w:t>
      </w:r>
      <w:r>
        <w:rPr>
          <w:rFonts w:ascii="Avenir LT Std 35 Light" w:hAnsi="Avenir LT Std 35 Light"/>
        </w:rPr>
        <w:t xml:space="preserve"> </w:t>
      </w:r>
      <w:r>
        <w:t xml:space="preserve">The BSO registered this work on behalf of the Committee. </w:t>
      </w:r>
    </w:p>
    <w:p w14:paraId="3681E48A" w14:textId="4E545EA8" w:rsidR="00D16669" w:rsidRDefault="00D16669" w:rsidP="00D16669">
      <w:pPr>
        <w:rPr>
          <w:rFonts w:ascii="Avenir LT Std 35 Light" w:eastAsia="Times New Roman" w:hAnsi="Avenir LT Std 35 Light"/>
          <w:color w:val="000000"/>
        </w:rPr>
      </w:pPr>
    </w:p>
    <w:p w14:paraId="07DF8030" w14:textId="77777777" w:rsidR="00171DBF" w:rsidRPr="007A7C85" w:rsidRDefault="00171DBF" w:rsidP="00171DBF">
      <w:pPr>
        <w:rPr>
          <w:rFonts w:ascii="Avenir LT Std 35 Light" w:hAnsi="Avenir LT Std 35 Light" w:cs="Cambria"/>
          <w:b/>
          <w:bCs/>
          <w:color w:val="000000" w:themeColor="text1"/>
        </w:rPr>
      </w:pPr>
      <w:r w:rsidRPr="007A7C85">
        <w:rPr>
          <w:rFonts w:ascii="Avenir LT Std 35 Light" w:hAnsi="Avenir LT Std 35 Light" w:cs="Cambria"/>
          <w:b/>
          <w:bCs/>
          <w:color w:val="000000" w:themeColor="text1"/>
        </w:rPr>
        <w:t xml:space="preserve">Post Exposure Investigation </w:t>
      </w:r>
    </w:p>
    <w:p w14:paraId="24456D4F" w14:textId="3DAC5626" w:rsidR="00171DBF" w:rsidRPr="00B36AE7" w:rsidRDefault="00171DBF" w:rsidP="00171DBF">
      <w:pPr>
        <w:rPr>
          <w:rFonts w:ascii="Avenir LT Std 35 Light" w:eastAsia="Avenir" w:hAnsi="Avenir LT Std 35 Light" w:cstheme="minorHAnsi"/>
          <w:b/>
          <w:bCs/>
        </w:rPr>
      </w:pPr>
      <w:r>
        <w:rPr>
          <w:rFonts w:ascii="Avenir LT Std 35 Light" w:hAnsi="Avenir LT Std 35 Light" w:cs="Cambria"/>
          <w:color w:val="000000" w:themeColor="text1"/>
        </w:rPr>
        <w:t>Th</w:t>
      </w:r>
      <w:r>
        <w:rPr>
          <w:rFonts w:ascii="Avenir LT Std 35 Light" w:hAnsi="Avenir LT Std 35 Light" w:cs="Cambria"/>
          <w:color w:val="000000" w:themeColor="text1"/>
        </w:rPr>
        <w:t>is agenda item is yet to be finalized. The wording for the containment practice</w:t>
      </w:r>
      <w:r>
        <w:rPr>
          <w:rFonts w:ascii="Avenir LT Std 35 Light" w:hAnsi="Avenir LT Std 35 Light" w:cs="Cambria"/>
          <w:color w:val="000000" w:themeColor="text1"/>
        </w:rPr>
        <w:t xml:space="preserve"> for non-glass aspirating pipettes</w:t>
      </w:r>
      <w:r>
        <w:rPr>
          <w:rFonts w:ascii="Avenir LT Std 35 Light" w:hAnsi="Avenir LT Std 35 Light" w:cs="Cambria"/>
          <w:color w:val="000000" w:themeColor="text1"/>
        </w:rPr>
        <w:t xml:space="preserve"> specified </w:t>
      </w:r>
      <w:r>
        <w:rPr>
          <w:rFonts w:ascii="Avenir LT Std 35 Light" w:hAnsi="Avenir LT Std 35 Light" w:cs="Cambria"/>
          <w:color w:val="000000" w:themeColor="text1"/>
        </w:rPr>
        <w:t>within the inspection checklists</w:t>
      </w:r>
      <w:r>
        <w:rPr>
          <w:rFonts w:ascii="Avenir LT Std 35 Light" w:hAnsi="Avenir LT Std 35 Light" w:cs="Cambria"/>
          <w:color w:val="000000" w:themeColor="text1"/>
        </w:rPr>
        <w:t xml:space="preserve"> will be changed from should to </w:t>
      </w:r>
      <w:r w:rsidR="00B521D5">
        <w:rPr>
          <w:rFonts w:ascii="Avenir LT Std 35 Light" w:hAnsi="Avenir LT Std 35 Light" w:cs="Cambria"/>
          <w:color w:val="000000" w:themeColor="text1"/>
        </w:rPr>
        <w:t>“</w:t>
      </w:r>
      <w:r>
        <w:rPr>
          <w:rFonts w:ascii="Avenir LT Std 35 Light" w:hAnsi="Avenir LT Std 35 Light" w:cs="Cambria"/>
          <w:color w:val="000000" w:themeColor="text1"/>
        </w:rPr>
        <w:t>must be double-bagged.</w:t>
      </w:r>
      <w:r w:rsidR="00B521D5">
        <w:rPr>
          <w:rFonts w:ascii="Avenir LT Std 35 Light" w:hAnsi="Avenir LT Std 35 Light" w:cs="Cambria"/>
          <w:color w:val="000000" w:themeColor="text1"/>
        </w:rPr>
        <w:t>”</w:t>
      </w:r>
      <w:r>
        <w:rPr>
          <w:rFonts w:ascii="Avenir LT Std 35 Light" w:hAnsi="Avenir LT Std 35 Light" w:cs="Cambria"/>
          <w:color w:val="000000" w:themeColor="text1"/>
        </w:rPr>
        <w:t xml:space="preserve"> </w:t>
      </w:r>
      <w:r>
        <w:rPr>
          <w:rFonts w:ascii="Avenir LT Std 35 Light" w:hAnsi="Avenir LT Std 35 Light" w:cs="Cambria"/>
          <w:color w:val="000000" w:themeColor="text1"/>
        </w:rPr>
        <w:t>The BSO will revise the</w:t>
      </w:r>
      <w:r>
        <w:rPr>
          <w:rFonts w:ascii="Avenir LT Std 35 Light" w:hAnsi="Avenir LT Std 35 Light" w:cs="Cambria"/>
          <w:color w:val="000000" w:themeColor="text1"/>
        </w:rPr>
        <w:t xml:space="preserve"> relevant recommended action </w:t>
      </w:r>
      <w:r>
        <w:rPr>
          <w:rFonts w:ascii="Avenir LT Std 35 Light" w:hAnsi="Avenir LT Std 35 Light" w:cs="Cambria"/>
          <w:color w:val="000000" w:themeColor="text1"/>
        </w:rPr>
        <w:t xml:space="preserve">and send out to the Committee for review prior to changing inspection checklists and notifying research groups. </w:t>
      </w:r>
    </w:p>
    <w:p w14:paraId="15C02887" w14:textId="77777777" w:rsidR="00171DBF" w:rsidRPr="005B1962" w:rsidRDefault="00171DBF" w:rsidP="00D16669">
      <w:pPr>
        <w:rPr>
          <w:rFonts w:ascii="Avenir LT Std 35 Light" w:eastAsia="Times New Roman" w:hAnsi="Avenir LT Std 35 Light"/>
          <w:color w:val="000000"/>
        </w:rPr>
      </w:pPr>
    </w:p>
    <w:sectPr w:rsidR="00171DBF" w:rsidRPr="005B196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1E62E" w14:textId="77777777" w:rsidR="0022750A" w:rsidRDefault="0022750A">
      <w:pPr>
        <w:spacing w:line="240" w:lineRule="auto"/>
      </w:pPr>
      <w:r>
        <w:separator/>
      </w:r>
    </w:p>
  </w:endnote>
  <w:endnote w:type="continuationSeparator" w:id="0">
    <w:p w14:paraId="4F45A7B9" w14:textId="77777777" w:rsidR="0022750A" w:rsidRDefault="00227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">
    <w:altName w:val="Calibri"/>
    <w:charset w:val="00"/>
    <w:family w:val="auto"/>
    <w:pitch w:val="default"/>
  </w:font>
  <w:font w:name="Produkt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3FB1" w14:textId="77777777" w:rsidR="0022750A" w:rsidRDefault="0022750A">
      <w:pPr>
        <w:spacing w:line="240" w:lineRule="auto"/>
      </w:pPr>
      <w:r>
        <w:separator/>
      </w:r>
    </w:p>
  </w:footnote>
  <w:footnote w:type="continuationSeparator" w:id="0">
    <w:p w14:paraId="382490DB" w14:textId="77777777" w:rsidR="0022750A" w:rsidRDefault="00227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27C89" w14:textId="77777777" w:rsidR="004C417D" w:rsidRPr="00EC764B" w:rsidRDefault="009A61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" w:eastAsia="Avenir" w:hAnsi="Avenir" w:cs="Avenir"/>
        <w:b/>
        <w:sz w:val="24"/>
        <w:szCs w:val="24"/>
      </w:rPr>
    </w:pPr>
    <w:r w:rsidRPr="00EC764B">
      <w:rPr>
        <w:rFonts w:ascii="Avenir" w:eastAsia="Avenir" w:hAnsi="Avenir" w:cs="Avenir"/>
        <w:b/>
        <w:sz w:val="24"/>
        <w:szCs w:val="24"/>
      </w:rPr>
      <w:t>UCSB/Institutional Biosafety Committee</w:t>
    </w:r>
    <w:r w:rsidRPr="00EC764B">
      <w:rPr>
        <w:rFonts w:ascii="Avenir" w:eastAsia="Avenir" w:hAnsi="Avenir" w:cs="Avenir"/>
        <w:b/>
        <w:sz w:val="24"/>
        <w:szCs w:val="24"/>
      </w:rPr>
      <w:tab/>
    </w:r>
  </w:p>
  <w:p w14:paraId="458A5646" w14:textId="76B08EB7" w:rsidR="00AF19DF" w:rsidRPr="00EC764B" w:rsidRDefault="00E12D7E" w:rsidP="00EC7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rPr>
        <w:rFonts w:ascii="Avenir LT Std 35 Light" w:eastAsia="Avenir" w:hAnsi="Avenir LT Std 35 Light" w:cs="Avenir"/>
      </w:rPr>
    </w:pPr>
    <w:r w:rsidRPr="00EC764B">
      <w:rPr>
        <w:rFonts w:ascii="Avenir LT Std 35 Light" w:eastAsia="Avenir" w:hAnsi="Avenir LT Std 35 Light" w:cs="Avenir"/>
      </w:rPr>
      <w:t>Monday</w:t>
    </w:r>
    <w:r w:rsidR="009A6131" w:rsidRPr="00EC764B">
      <w:rPr>
        <w:rFonts w:ascii="Avenir LT Std 35 Light" w:eastAsia="Avenir" w:hAnsi="Avenir LT Std 35 Light" w:cs="Avenir"/>
      </w:rPr>
      <w:t xml:space="preserve">, </w:t>
    </w:r>
    <w:r w:rsidR="00F23EF6" w:rsidRPr="00EC764B">
      <w:rPr>
        <w:rFonts w:ascii="Avenir LT Std 35 Light" w:eastAsia="Avenir" w:hAnsi="Avenir LT Std 35 Light" w:cs="Avenir"/>
      </w:rPr>
      <w:t>October</w:t>
    </w:r>
    <w:r w:rsidR="002065DC" w:rsidRPr="00EC764B">
      <w:rPr>
        <w:rFonts w:ascii="Avenir LT Std 35 Light" w:eastAsia="Avenir" w:hAnsi="Avenir LT Std 35 Light" w:cs="Avenir"/>
      </w:rPr>
      <w:t xml:space="preserve"> </w:t>
    </w:r>
    <w:r w:rsidR="00AD68E6" w:rsidRPr="00EC764B">
      <w:rPr>
        <w:rFonts w:ascii="Avenir LT Std 35 Light" w:eastAsia="Avenir" w:hAnsi="Avenir LT Std 35 Light" w:cs="Avenir"/>
      </w:rPr>
      <w:t>2</w:t>
    </w:r>
    <w:r w:rsidR="00F23EF6" w:rsidRPr="00EC764B">
      <w:rPr>
        <w:rFonts w:ascii="Avenir LT Std 35 Light" w:eastAsia="Avenir" w:hAnsi="Avenir LT Std 35 Light" w:cs="Avenir"/>
      </w:rPr>
      <w:t>7</w:t>
    </w:r>
    <w:r w:rsidR="009A6131" w:rsidRPr="00EC764B">
      <w:rPr>
        <w:rFonts w:ascii="Avenir LT Std 35 Light" w:eastAsia="Avenir" w:hAnsi="Avenir LT Std 35 Light" w:cs="Avenir"/>
      </w:rPr>
      <w:t>, 202</w:t>
    </w:r>
    <w:r w:rsidR="00DF6C6F" w:rsidRPr="00EC764B">
      <w:rPr>
        <w:rFonts w:ascii="Avenir LT Std 35 Light" w:eastAsia="Avenir" w:hAnsi="Avenir LT Std 35 Light" w:cs="Avenir"/>
      </w:rPr>
      <w:t>5</w:t>
    </w:r>
    <w:r w:rsidR="009A6131" w:rsidRPr="00EC764B">
      <w:rPr>
        <w:rFonts w:ascii="Avenir LT Std 35 Light" w:eastAsia="Avenir" w:hAnsi="Avenir LT Std 35 Light" w:cs="Avenir"/>
      </w:rPr>
      <w:t xml:space="preserve">, at 3 pm </w:t>
    </w:r>
    <w:r w:rsidR="00EC764B" w:rsidRPr="00EC764B">
      <w:rPr>
        <w:rFonts w:ascii="Avenir LT Std 35 Light" w:eastAsia="Avenir" w:hAnsi="Avenir LT Std 35 Light" w:cs="Avenir"/>
      </w:rPr>
      <w:t>by video conference</w:t>
    </w:r>
  </w:p>
  <w:p w14:paraId="671C889B" w14:textId="5D8C2D07" w:rsidR="004C417D" w:rsidRDefault="00EC764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rFonts w:ascii="Produkt Light" w:eastAsia="Produkt Light" w:hAnsi="Produkt Light" w:cs="Produkt Light"/>
        <w:b/>
        <w:color w:val="000000"/>
        <w:sz w:val="24"/>
        <w:szCs w:val="24"/>
      </w:rPr>
    </w:pPr>
    <w:r>
      <w:rPr>
        <w:rFonts w:ascii="Produkt Light" w:eastAsia="Produkt Light" w:hAnsi="Produkt Light" w:cs="Produkt Light"/>
        <w:b/>
        <w:color w:val="000000"/>
        <w:sz w:val="24"/>
        <w:szCs w:val="24"/>
      </w:rPr>
      <w:t>Minutes</w:t>
    </w:r>
  </w:p>
  <w:p w14:paraId="4CB17F98" w14:textId="77777777" w:rsidR="004C417D" w:rsidRDefault="004C417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580"/>
        <w:tab w:val="left" w:pos="2985"/>
      </w:tabs>
      <w:spacing w:line="240" w:lineRule="auto"/>
      <w:jc w:val="right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667C3"/>
    <w:multiLevelType w:val="hybridMultilevel"/>
    <w:tmpl w:val="4588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A47A7"/>
    <w:multiLevelType w:val="hybridMultilevel"/>
    <w:tmpl w:val="4AE46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A6674"/>
    <w:multiLevelType w:val="hybridMultilevel"/>
    <w:tmpl w:val="77DA4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C0197E"/>
    <w:multiLevelType w:val="multilevel"/>
    <w:tmpl w:val="F120D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7D"/>
    <w:rsid w:val="000236BC"/>
    <w:rsid w:val="00023F77"/>
    <w:rsid w:val="00024E78"/>
    <w:rsid w:val="00024FB0"/>
    <w:rsid w:val="0004557C"/>
    <w:rsid w:val="00052021"/>
    <w:rsid w:val="00056AEA"/>
    <w:rsid w:val="000575E6"/>
    <w:rsid w:val="000734BB"/>
    <w:rsid w:val="00074169"/>
    <w:rsid w:val="00084C5D"/>
    <w:rsid w:val="000C18A1"/>
    <w:rsid w:val="000D5F74"/>
    <w:rsid w:val="00102E2C"/>
    <w:rsid w:val="00122285"/>
    <w:rsid w:val="00124E3D"/>
    <w:rsid w:val="00146963"/>
    <w:rsid w:val="0015038D"/>
    <w:rsid w:val="00164652"/>
    <w:rsid w:val="00171DBF"/>
    <w:rsid w:val="00180B37"/>
    <w:rsid w:val="00187E4A"/>
    <w:rsid w:val="001944DD"/>
    <w:rsid w:val="001A11FA"/>
    <w:rsid w:val="001A1DE4"/>
    <w:rsid w:val="001A5609"/>
    <w:rsid w:val="001A6842"/>
    <w:rsid w:val="001C1D0D"/>
    <w:rsid w:val="001D4E7D"/>
    <w:rsid w:val="001D5803"/>
    <w:rsid w:val="001F3378"/>
    <w:rsid w:val="001F6C77"/>
    <w:rsid w:val="00202CCA"/>
    <w:rsid w:val="002065DC"/>
    <w:rsid w:val="00211358"/>
    <w:rsid w:val="00213F62"/>
    <w:rsid w:val="00226706"/>
    <w:rsid w:val="0022750A"/>
    <w:rsid w:val="002310F7"/>
    <w:rsid w:val="00245988"/>
    <w:rsid w:val="00257A50"/>
    <w:rsid w:val="00275699"/>
    <w:rsid w:val="00283237"/>
    <w:rsid w:val="002A1FCB"/>
    <w:rsid w:val="002A3468"/>
    <w:rsid w:val="002A3C6D"/>
    <w:rsid w:val="002B1CE6"/>
    <w:rsid w:val="002B57BB"/>
    <w:rsid w:val="002D384B"/>
    <w:rsid w:val="002D6B61"/>
    <w:rsid w:val="002D712E"/>
    <w:rsid w:val="002F4089"/>
    <w:rsid w:val="002F642A"/>
    <w:rsid w:val="00311218"/>
    <w:rsid w:val="00322184"/>
    <w:rsid w:val="00330D05"/>
    <w:rsid w:val="00333BB4"/>
    <w:rsid w:val="00333D64"/>
    <w:rsid w:val="003365F0"/>
    <w:rsid w:val="003612C0"/>
    <w:rsid w:val="00373DAE"/>
    <w:rsid w:val="003802FB"/>
    <w:rsid w:val="003A3C59"/>
    <w:rsid w:val="003B7C47"/>
    <w:rsid w:val="003C2FB2"/>
    <w:rsid w:val="003D73A1"/>
    <w:rsid w:val="003E030C"/>
    <w:rsid w:val="003E6B8B"/>
    <w:rsid w:val="003E7EB2"/>
    <w:rsid w:val="003F2B66"/>
    <w:rsid w:val="004113C7"/>
    <w:rsid w:val="004170A1"/>
    <w:rsid w:val="00491C25"/>
    <w:rsid w:val="00494A06"/>
    <w:rsid w:val="0049756D"/>
    <w:rsid w:val="00497714"/>
    <w:rsid w:val="004A2B26"/>
    <w:rsid w:val="004B08F1"/>
    <w:rsid w:val="004B14C8"/>
    <w:rsid w:val="004B2D72"/>
    <w:rsid w:val="004C417D"/>
    <w:rsid w:val="004E18EF"/>
    <w:rsid w:val="004E4637"/>
    <w:rsid w:val="004F499D"/>
    <w:rsid w:val="005309F8"/>
    <w:rsid w:val="00536F98"/>
    <w:rsid w:val="005415E3"/>
    <w:rsid w:val="00555F60"/>
    <w:rsid w:val="00556EEE"/>
    <w:rsid w:val="00567167"/>
    <w:rsid w:val="005A27FA"/>
    <w:rsid w:val="005B1962"/>
    <w:rsid w:val="005B5BF5"/>
    <w:rsid w:val="005C42AB"/>
    <w:rsid w:val="00613636"/>
    <w:rsid w:val="006266C6"/>
    <w:rsid w:val="00637D4B"/>
    <w:rsid w:val="00653502"/>
    <w:rsid w:val="00653654"/>
    <w:rsid w:val="006705F4"/>
    <w:rsid w:val="0067131F"/>
    <w:rsid w:val="00671F91"/>
    <w:rsid w:val="00682F6D"/>
    <w:rsid w:val="006831EE"/>
    <w:rsid w:val="006879C6"/>
    <w:rsid w:val="006A1AF6"/>
    <w:rsid w:val="006C6E8A"/>
    <w:rsid w:val="006E0F70"/>
    <w:rsid w:val="006E4A31"/>
    <w:rsid w:val="00707B7D"/>
    <w:rsid w:val="007105CD"/>
    <w:rsid w:val="007202E9"/>
    <w:rsid w:val="00730B70"/>
    <w:rsid w:val="00753378"/>
    <w:rsid w:val="00766A7D"/>
    <w:rsid w:val="00770AD0"/>
    <w:rsid w:val="00792ED3"/>
    <w:rsid w:val="00795714"/>
    <w:rsid w:val="007A1D09"/>
    <w:rsid w:val="007E75C7"/>
    <w:rsid w:val="00826B89"/>
    <w:rsid w:val="00827CED"/>
    <w:rsid w:val="00830038"/>
    <w:rsid w:val="0087607C"/>
    <w:rsid w:val="008A034E"/>
    <w:rsid w:val="008A15DA"/>
    <w:rsid w:val="008A3940"/>
    <w:rsid w:val="00900A30"/>
    <w:rsid w:val="00901F2A"/>
    <w:rsid w:val="00911DA9"/>
    <w:rsid w:val="0093322E"/>
    <w:rsid w:val="00940840"/>
    <w:rsid w:val="009869E6"/>
    <w:rsid w:val="009A6131"/>
    <w:rsid w:val="009C4FDD"/>
    <w:rsid w:val="009D40F6"/>
    <w:rsid w:val="009D5D6A"/>
    <w:rsid w:val="009F4B7E"/>
    <w:rsid w:val="00A072BB"/>
    <w:rsid w:val="00A22ADE"/>
    <w:rsid w:val="00A549B3"/>
    <w:rsid w:val="00A61B9A"/>
    <w:rsid w:val="00A67CB1"/>
    <w:rsid w:val="00A74DBA"/>
    <w:rsid w:val="00A81D9E"/>
    <w:rsid w:val="00A841C8"/>
    <w:rsid w:val="00A85854"/>
    <w:rsid w:val="00AA466B"/>
    <w:rsid w:val="00AC316A"/>
    <w:rsid w:val="00AD5D93"/>
    <w:rsid w:val="00AD68E6"/>
    <w:rsid w:val="00AF178D"/>
    <w:rsid w:val="00AF19DF"/>
    <w:rsid w:val="00AF4817"/>
    <w:rsid w:val="00B07A91"/>
    <w:rsid w:val="00B1195E"/>
    <w:rsid w:val="00B13B6A"/>
    <w:rsid w:val="00B202A9"/>
    <w:rsid w:val="00B2569A"/>
    <w:rsid w:val="00B302A0"/>
    <w:rsid w:val="00B31898"/>
    <w:rsid w:val="00B37EA8"/>
    <w:rsid w:val="00B521D5"/>
    <w:rsid w:val="00B5266B"/>
    <w:rsid w:val="00B55C74"/>
    <w:rsid w:val="00B577EB"/>
    <w:rsid w:val="00B61D80"/>
    <w:rsid w:val="00B66E4D"/>
    <w:rsid w:val="00B71D9A"/>
    <w:rsid w:val="00B9469D"/>
    <w:rsid w:val="00BD2112"/>
    <w:rsid w:val="00BE4C30"/>
    <w:rsid w:val="00BE7068"/>
    <w:rsid w:val="00BF428C"/>
    <w:rsid w:val="00C058D0"/>
    <w:rsid w:val="00C3628B"/>
    <w:rsid w:val="00C403B5"/>
    <w:rsid w:val="00C405FD"/>
    <w:rsid w:val="00C47565"/>
    <w:rsid w:val="00C507B7"/>
    <w:rsid w:val="00C53FC6"/>
    <w:rsid w:val="00C55AFD"/>
    <w:rsid w:val="00C6490D"/>
    <w:rsid w:val="00C728AA"/>
    <w:rsid w:val="00C867FF"/>
    <w:rsid w:val="00CA11CE"/>
    <w:rsid w:val="00CA6CAD"/>
    <w:rsid w:val="00CC6E1B"/>
    <w:rsid w:val="00CE33C4"/>
    <w:rsid w:val="00CF2D6D"/>
    <w:rsid w:val="00CF605C"/>
    <w:rsid w:val="00D12805"/>
    <w:rsid w:val="00D16669"/>
    <w:rsid w:val="00D3238C"/>
    <w:rsid w:val="00D46227"/>
    <w:rsid w:val="00D47E9E"/>
    <w:rsid w:val="00D71198"/>
    <w:rsid w:val="00D819A4"/>
    <w:rsid w:val="00D8257B"/>
    <w:rsid w:val="00D85D1A"/>
    <w:rsid w:val="00D86D95"/>
    <w:rsid w:val="00D960E9"/>
    <w:rsid w:val="00DB1BE4"/>
    <w:rsid w:val="00DE37B8"/>
    <w:rsid w:val="00DE7174"/>
    <w:rsid w:val="00DF5860"/>
    <w:rsid w:val="00DF6C6F"/>
    <w:rsid w:val="00E00A53"/>
    <w:rsid w:val="00E00FF1"/>
    <w:rsid w:val="00E03E6A"/>
    <w:rsid w:val="00E10DFA"/>
    <w:rsid w:val="00E12D7E"/>
    <w:rsid w:val="00E30282"/>
    <w:rsid w:val="00E72BE3"/>
    <w:rsid w:val="00E75856"/>
    <w:rsid w:val="00E9385B"/>
    <w:rsid w:val="00EB6350"/>
    <w:rsid w:val="00EC764B"/>
    <w:rsid w:val="00ED19A8"/>
    <w:rsid w:val="00ED5F38"/>
    <w:rsid w:val="00EF14A3"/>
    <w:rsid w:val="00EF1F06"/>
    <w:rsid w:val="00F0017D"/>
    <w:rsid w:val="00F008D9"/>
    <w:rsid w:val="00F23EF6"/>
    <w:rsid w:val="00F2438A"/>
    <w:rsid w:val="00F312DB"/>
    <w:rsid w:val="00F42E20"/>
    <w:rsid w:val="00F57B64"/>
    <w:rsid w:val="00F66C05"/>
    <w:rsid w:val="00FA6480"/>
    <w:rsid w:val="00FC0AB6"/>
    <w:rsid w:val="00FC5D0E"/>
    <w:rsid w:val="00FD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A6B1"/>
  <w15:docId w15:val="{2D489DB8-A82B-48E9-B2FF-A024164B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7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782"/>
  </w:style>
  <w:style w:type="paragraph" w:styleId="Footer">
    <w:name w:val="footer"/>
    <w:basedOn w:val="Normal"/>
    <w:link w:val="FooterChar"/>
    <w:uiPriority w:val="99"/>
    <w:unhideWhenUsed/>
    <w:rsid w:val="0031678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782"/>
  </w:style>
  <w:style w:type="paragraph" w:styleId="BalloonText">
    <w:name w:val="Balloon Text"/>
    <w:basedOn w:val="Normal"/>
    <w:link w:val="BalloonTextChar"/>
    <w:uiPriority w:val="99"/>
    <w:semiHidden/>
    <w:unhideWhenUsed/>
    <w:rsid w:val="003167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16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table" w:styleId="TableGrid">
    <w:name w:val="Table Grid"/>
    <w:basedOn w:val="TableNormal"/>
    <w:uiPriority w:val="59"/>
    <w:rsid w:val="00722AA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540D"/>
    <w:pPr>
      <w:ind w:left="720"/>
      <w:contextualSpacing/>
    </w:pPr>
  </w:style>
  <w:style w:type="character" w:styleId="Hyperlink">
    <w:name w:val="Hyperlink"/>
    <w:basedOn w:val="DefaultParagraphFont"/>
    <w:unhideWhenUsed/>
    <w:rsid w:val="00BE5D0C"/>
    <w:rPr>
      <w:color w:val="0000FF"/>
      <w:u w:val="single"/>
    </w:rPr>
  </w:style>
  <w:style w:type="character" w:customStyle="1" w:styleId="st">
    <w:name w:val="st"/>
    <w:basedOn w:val="DefaultParagraphFont"/>
    <w:rsid w:val="00961CA9"/>
  </w:style>
  <w:style w:type="paragraph" w:customStyle="1" w:styleId="TableParagraph">
    <w:name w:val="Table Paragraph"/>
    <w:basedOn w:val="Normal"/>
    <w:uiPriority w:val="1"/>
    <w:qFormat/>
    <w:rsid w:val="00A61DF8"/>
    <w:pPr>
      <w:widowControl w:val="0"/>
      <w:autoSpaceDE w:val="0"/>
      <w:autoSpaceDN w:val="0"/>
      <w:spacing w:line="240" w:lineRule="auto"/>
      <w:ind w:left="107"/>
    </w:pPr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476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character" w:customStyle="1" w:styleId="agencies">
    <w:name w:val="agencies"/>
    <w:basedOn w:val="DefaultParagraphFont"/>
    <w:rsid w:val="003B7C47"/>
  </w:style>
  <w:style w:type="character" w:customStyle="1" w:styleId="page-range">
    <w:name w:val="page-range"/>
    <w:basedOn w:val="DefaultParagraphFont"/>
    <w:rsid w:val="003B7C47"/>
  </w:style>
  <w:style w:type="character" w:styleId="FollowedHyperlink">
    <w:name w:val="FollowedHyperlink"/>
    <w:basedOn w:val="DefaultParagraphFont"/>
    <w:uiPriority w:val="99"/>
    <w:semiHidden/>
    <w:unhideWhenUsed/>
    <w:rsid w:val="006831E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9756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9171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05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C65OVsc05nXkw+XtxEAEDyN62Q==">AMUW2mUrdVomYtf1dcM2r9F0xOPi0Grp7gj5c9J9Yz6ky22cXp15NoiNeCm9oEXluJv7GAmeGKtvqJMfqdOhc2W6AUsf2EQblXWyYvcrNF7Bxpk/dz6BEzQyYID/0xEld5q7kx3W417B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H. Bishop</dc:creator>
  <cp:lastModifiedBy>Jamie Bishop</cp:lastModifiedBy>
  <cp:revision>19</cp:revision>
  <dcterms:created xsi:type="dcterms:W3CDTF">2025-10-27T22:37:00Z</dcterms:created>
  <dcterms:modified xsi:type="dcterms:W3CDTF">2025-11-17T22:41:00Z</dcterms:modified>
</cp:coreProperties>
</file>