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66426" w14:textId="2162B93F" w:rsidR="00934389" w:rsidRDefault="006C29CD" w:rsidP="006C29CD">
      <w:pPr>
        <w:pStyle w:val="Heading2"/>
        <w:spacing w:before="0"/>
        <w:jc w:val="center"/>
      </w:pPr>
      <w:bookmarkStart w:id="0" w:name="_Hlk227075708"/>
      <w:bookmarkEnd w:id="0"/>
      <w:r>
        <w:t>Standard Operating Procedure</w:t>
      </w:r>
    </w:p>
    <w:p w14:paraId="63697383" w14:textId="5F814952" w:rsidR="00445EEB" w:rsidRDefault="00445EEB" w:rsidP="00445EEB"/>
    <w:p w14:paraId="7DE6BBBB" w14:textId="10B8315C" w:rsidR="00445EEB" w:rsidRPr="00445EEB" w:rsidRDefault="00445EEB" w:rsidP="00445EEB">
      <w:pPr>
        <w:jc w:val="center"/>
      </w:pPr>
      <w:r>
        <w:rPr>
          <w:b/>
          <w:noProof/>
          <w:sz w:val="48"/>
          <w:szCs w:val="48"/>
        </w:rPr>
        <w:drawing>
          <wp:inline distT="0" distB="0" distL="0" distR="0" wp14:anchorId="054A3D8A" wp14:editId="0C278392">
            <wp:extent cx="914400" cy="914400"/>
            <wp:effectExtent l="0" t="0" r="0" b="0"/>
            <wp:docPr id="2" name="Picture 2" descr="GHS pictogram, health hazard.  Carcinogen, reproductive toxicity, target organ toxicity, Mutagenicity, aspiration toxic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HS pictogram, health hazard.  Carcinogen, reproductive toxicity, target organ toxicity, Mutagenicity, aspiration toxicit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48"/>
          <w:szCs w:val="48"/>
        </w:rPr>
        <w:drawing>
          <wp:inline distT="0" distB="0" distL="0" distR="0" wp14:anchorId="2671057A" wp14:editId="58EBDE54">
            <wp:extent cx="914400" cy="914400"/>
            <wp:effectExtent l="0" t="0" r="0" b="0"/>
            <wp:docPr id="1" name="Picture 1" descr="GHS pictogram, skull and crossbones.  Acute toxicity (fatal or toxic)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HS pictogram, skull and crossbones.  Acute toxicity (fatal or toxic)&#10;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</w:rPr>
        <w:drawing>
          <wp:inline distT="0" distB="0" distL="0" distR="0" wp14:anchorId="59DF1880" wp14:editId="5EBBC821">
            <wp:extent cx="914400" cy="914400"/>
            <wp:effectExtent l="0" t="0" r="0" b="0"/>
            <wp:docPr id="3" name="Picture 3" descr="GHS pictogram, exploding bomb.  Explosives, self-reactives, organic peroxides,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HS pictogram, exploding bomb.  Explosives, self-reactives, organic peroxides, 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CCDAC6" w14:textId="77777777" w:rsidR="006C29CD" w:rsidRPr="00526C74" w:rsidRDefault="006C361A" w:rsidP="006C29CD">
      <w:pPr>
        <w:pStyle w:val="Heading1"/>
        <w:spacing w:before="0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Sodium Azide and Organic Azides</w:t>
      </w:r>
    </w:p>
    <w:p w14:paraId="01F1B706" w14:textId="1EAD8A16" w:rsidR="006C29CD" w:rsidRDefault="00275DF7" w:rsidP="00275DF7">
      <w:pPr>
        <w:pStyle w:val="Heading2"/>
      </w:pPr>
      <w:r>
        <w:t>Overview</w:t>
      </w:r>
    </w:p>
    <w:p w14:paraId="31071388" w14:textId="39226F85" w:rsidR="00275DF7" w:rsidRDefault="00BB5BFF" w:rsidP="00275DF7">
      <w:r>
        <w:t xml:space="preserve">As an anion, </w:t>
      </w:r>
      <w:proofErr w:type="spellStart"/>
      <w:r>
        <w:t>azi</w:t>
      </w:r>
      <w:r w:rsidR="006F4F65">
        <w:t>de</w:t>
      </w:r>
      <w:proofErr w:type="spellEnd"/>
      <w:r w:rsidR="006F4F65">
        <w:t xml:space="preserve"> has a similar toxicity to cyanide, </w:t>
      </w:r>
      <w:r w:rsidR="006F4F65" w:rsidRPr="0029416F">
        <w:rPr>
          <w:u w:val="single"/>
        </w:rPr>
        <w:t>and exposure via all routes can easily become fatal.</w:t>
      </w:r>
      <w:r w:rsidR="00C92714">
        <w:t xml:space="preserve">  It is readily absorbed through skin. </w:t>
      </w:r>
      <w:r w:rsidR="006F4F65">
        <w:t xml:space="preserve"> </w:t>
      </w:r>
      <w:proofErr w:type="gramStart"/>
      <w:r w:rsidR="006F4F65">
        <w:t>Also</w:t>
      </w:r>
      <w:proofErr w:type="gramEnd"/>
      <w:r w:rsidR="006F4F65">
        <w:t xml:space="preserve"> like cyanide, </w:t>
      </w:r>
      <w:r w:rsidR="006F4F65" w:rsidRPr="0029416F">
        <w:rPr>
          <w:u w:val="single"/>
        </w:rPr>
        <w:t>reaction of azide ion with acid produces a toxic gas</w:t>
      </w:r>
      <w:r w:rsidR="006F4F65">
        <w:t xml:space="preserve"> that is easily inhaled, hydrazoic acid.</w:t>
      </w:r>
    </w:p>
    <w:p w14:paraId="778524A4" w14:textId="77777777" w:rsidR="00DE5BB6" w:rsidRDefault="00DE5BB6" w:rsidP="00275DF7">
      <w:r w:rsidRPr="0029416F">
        <w:rPr>
          <w:u w:val="single"/>
        </w:rPr>
        <w:t>Organic azides are potentially explosive substances</w:t>
      </w:r>
      <w:r>
        <w:t xml:space="preserve"> that can decompose under heat, light or pressure.  The violence of this decomposition is dependent on structure (see </w:t>
      </w:r>
      <w:r w:rsidR="00703985">
        <w:t xml:space="preserve">Special Handling Considerations </w:t>
      </w:r>
      <w:r>
        <w:t>below)</w:t>
      </w:r>
    </w:p>
    <w:p w14:paraId="49DBAF6C" w14:textId="77777777" w:rsidR="00CA2AE7" w:rsidRDefault="00CA2AE7" w:rsidP="00275DF7"/>
    <w:p w14:paraId="0BE5A837" w14:textId="77777777" w:rsidR="00AA16E2" w:rsidRDefault="00AA16E2" w:rsidP="00AA16E2">
      <w:pPr>
        <w:pStyle w:val="Heading2"/>
      </w:pPr>
      <w:r>
        <w:t>Special Handling and Storage Concerns</w:t>
      </w:r>
    </w:p>
    <w:p w14:paraId="047301A1" w14:textId="77777777" w:rsidR="00A613B6" w:rsidRDefault="00A613B6" w:rsidP="00AA16E2">
      <w:pPr>
        <w:rPr>
          <w:b/>
        </w:rPr>
      </w:pPr>
      <w:r>
        <w:rPr>
          <w:b/>
        </w:rPr>
        <w:t>Personal Protective Equipment</w:t>
      </w:r>
    </w:p>
    <w:p w14:paraId="4B122114" w14:textId="77777777" w:rsidR="00CD4031" w:rsidRDefault="00CD4031" w:rsidP="00CD4031">
      <w:pPr>
        <w:pStyle w:val="ListParagraph"/>
        <w:numPr>
          <w:ilvl w:val="0"/>
          <w:numId w:val="2"/>
        </w:numPr>
      </w:pPr>
      <w:r>
        <w:t>Flame resistant lab coat.</w:t>
      </w:r>
    </w:p>
    <w:p w14:paraId="118BE0D3" w14:textId="77777777" w:rsidR="00CD4031" w:rsidRDefault="00A42629" w:rsidP="00CD4031">
      <w:pPr>
        <w:pStyle w:val="ListParagraph"/>
        <w:numPr>
          <w:ilvl w:val="0"/>
          <w:numId w:val="2"/>
        </w:numPr>
      </w:pPr>
      <w:r>
        <w:t>Nitrile</w:t>
      </w:r>
      <w:r w:rsidR="00CD4031">
        <w:t xml:space="preserve"> gloves are adequate for possible incidental exposure.  </w:t>
      </w:r>
      <w:r>
        <w:t>Silver Shield gloves under nitrile</w:t>
      </w:r>
      <w:r w:rsidR="00CD4031">
        <w:t xml:space="preserve"> gloves are recommended if large splashes or </w:t>
      </w:r>
      <w:r>
        <w:t>other skin contact risk is possible due to scale or procedure, or if there is particular concern about skin permeability</w:t>
      </w:r>
      <w:r w:rsidR="00CD4031">
        <w:t>.</w:t>
      </w:r>
    </w:p>
    <w:p w14:paraId="3E3CA8FD" w14:textId="77777777" w:rsidR="00A613B6" w:rsidRDefault="00CD4031" w:rsidP="00AA16E2">
      <w:pPr>
        <w:pStyle w:val="ListParagraph"/>
        <w:numPr>
          <w:ilvl w:val="0"/>
          <w:numId w:val="2"/>
        </w:numPr>
      </w:pPr>
      <w:r>
        <w:t xml:space="preserve">ANSI Z87.1-compliant safety goggles.  Safety goggles </w:t>
      </w:r>
      <w:r>
        <w:rPr>
          <w:i/>
        </w:rPr>
        <w:t>and</w:t>
      </w:r>
      <w:r>
        <w:t xml:space="preserve"> a face shield if a splash hazard is present.</w:t>
      </w:r>
    </w:p>
    <w:p w14:paraId="382BBD70" w14:textId="77777777" w:rsidR="00A613B6" w:rsidRDefault="00A613B6" w:rsidP="00AA16E2">
      <w:r>
        <w:rPr>
          <w:b/>
        </w:rPr>
        <w:t>Special Storage Requirements</w:t>
      </w:r>
    </w:p>
    <w:p w14:paraId="010F4F21" w14:textId="77777777" w:rsidR="00A613B6" w:rsidRDefault="000C0085" w:rsidP="00AA16E2">
      <w:r>
        <w:t>Sodium azide is Incompatible with:  Chlorinated solvent, Br</w:t>
      </w:r>
      <w:r w:rsidR="00322B61">
        <w:rPr>
          <w:rFonts w:cstheme="minorHAnsi"/>
        </w:rPr>
        <w:t>ø</w:t>
      </w:r>
      <w:r>
        <w:t xml:space="preserve">nsted acids, carbon disulfide, and heavy metals.  </w:t>
      </w:r>
    </w:p>
    <w:p w14:paraId="435B4582" w14:textId="77777777" w:rsidR="000C0085" w:rsidRDefault="000C0085" w:rsidP="00AA16E2">
      <w:r>
        <w:t xml:space="preserve">Organic azides should be stored at or below -18 </w:t>
      </w:r>
      <w:r>
        <w:rPr>
          <w:rFonts w:cstheme="minorHAnsi"/>
        </w:rPr>
        <w:t>°</w:t>
      </w:r>
      <w:r>
        <w:t>C and away from light.  Do not use metal containers or lids.</w:t>
      </w:r>
    </w:p>
    <w:p w14:paraId="1F865FA0" w14:textId="77777777" w:rsidR="00A613B6" w:rsidRDefault="00A613B6" w:rsidP="00AA16E2">
      <w:r>
        <w:rPr>
          <w:b/>
        </w:rPr>
        <w:t>Engineering Controls</w:t>
      </w:r>
    </w:p>
    <w:p w14:paraId="010F4270" w14:textId="77777777" w:rsidR="00A42629" w:rsidRDefault="00A42629" w:rsidP="00A42629">
      <w:r>
        <w:rPr>
          <w:i/>
        </w:rPr>
        <w:t xml:space="preserve">Fume Hood:  </w:t>
      </w:r>
      <w:r>
        <w:t>All azides should be handled in a fume hood.  Keep the fume hood sash at the lowest level possible while working, and closed when the hood is not in active use.</w:t>
      </w:r>
    </w:p>
    <w:p w14:paraId="417476D6" w14:textId="77777777" w:rsidR="00A613B6" w:rsidRDefault="00A42629" w:rsidP="00AA16E2">
      <w:r>
        <w:rPr>
          <w:i/>
        </w:rPr>
        <w:t xml:space="preserve">Blast Shield:  </w:t>
      </w:r>
      <w:r>
        <w:t>The use of a portable blast shield inside the fume hood is highly recommended.</w:t>
      </w:r>
    </w:p>
    <w:p w14:paraId="2BFFD9C5" w14:textId="77777777" w:rsidR="00A613B6" w:rsidRDefault="00A613B6" w:rsidP="00AA16E2">
      <w:r>
        <w:rPr>
          <w:b/>
        </w:rPr>
        <w:t>Special Handling Considerations</w:t>
      </w:r>
    </w:p>
    <w:p w14:paraId="11521A55" w14:textId="77777777" w:rsidR="00A613B6" w:rsidRDefault="00CA2AE7" w:rsidP="00AA16E2">
      <w:r>
        <w:lastRenderedPageBreak/>
        <w:t xml:space="preserve">Contact of alkali (sodium, </w:t>
      </w:r>
      <w:r w:rsidR="00322B61">
        <w:t>etc.</w:t>
      </w:r>
      <w:r>
        <w:t xml:space="preserve">) salts with all metals should be avoided.  </w:t>
      </w:r>
      <w:r w:rsidRPr="0029416F">
        <w:rPr>
          <w:u w:val="single"/>
        </w:rPr>
        <w:t>Do not use halogenated solvents</w:t>
      </w:r>
      <w:r>
        <w:t>, as the formation of explosive azido</w:t>
      </w:r>
      <w:r w:rsidR="00603400">
        <w:t>methane compounds can occur</w:t>
      </w:r>
      <w:r>
        <w:t xml:space="preserve">.  </w:t>
      </w:r>
    </w:p>
    <w:p w14:paraId="15C8F876" w14:textId="77777777" w:rsidR="00603400" w:rsidRDefault="00603400" w:rsidP="00AA16E2">
      <w:r>
        <w:t>For organic azides</w:t>
      </w:r>
      <w:r w:rsidRPr="0029416F">
        <w:rPr>
          <w:u w:val="single"/>
        </w:rPr>
        <w:t>, violent decomposition reactions occur for compounds having the ratio of atoms (C+O)/N &lt;3</w:t>
      </w:r>
      <w:r w:rsidRPr="00603400">
        <w:rPr>
          <w:b/>
        </w:rPr>
        <w:t>.</w:t>
      </w:r>
      <w:r>
        <w:t xml:space="preserve">  Avoid isolating and storing these compounds.  Do not scale up the synthesis of any organic azide unless its stability is well-characterized.</w:t>
      </w:r>
    </w:p>
    <w:p w14:paraId="59F08894" w14:textId="77777777" w:rsidR="00603400" w:rsidRDefault="00603400" w:rsidP="00AA16E2">
      <w:r>
        <w:t>The following operations can cause the violent decomposition of azides and should be avoided:</w:t>
      </w:r>
    </w:p>
    <w:p w14:paraId="7BB47B11" w14:textId="77777777" w:rsidR="00603400" w:rsidRDefault="00603400" w:rsidP="00603400">
      <w:pPr>
        <w:pStyle w:val="ListParagraph"/>
        <w:numPr>
          <w:ilvl w:val="0"/>
          <w:numId w:val="3"/>
        </w:numPr>
      </w:pPr>
      <w:r>
        <w:t>Heating during reaction or workup</w:t>
      </w:r>
    </w:p>
    <w:p w14:paraId="55E22B31" w14:textId="77777777" w:rsidR="00603400" w:rsidRDefault="00603400" w:rsidP="00603400">
      <w:pPr>
        <w:pStyle w:val="ListParagraph"/>
        <w:numPr>
          <w:ilvl w:val="0"/>
          <w:numId w:val="3"/>
        </w:numPr>
      </w:pPr>
      <w:r>
        <w:t>Distillation or sublimation</w:t>
      </w:r>
    </w:p>
    <w:p w14:paraId="609FE5EB" w14:textId="77777777" w:rsidR="00603400" w:rsidRDefault="00603400" w:rsidP="00603400">
      <w:pPr>
        <w:pStyle w:val="ListParagraph"/>
        <w:numPr>
          <w:ilvl w:val="0"/>
          <w:numId w:val="3"/>
        </w:numPr>
      </w:pPr>
      <w:r>
        <w:t>Grinding, scratching or other sources of friction</w:t>
      </w:r>
    </w:p>
    <w:p w14:paraId="71445085" w14:textId="77777777" w:rsidR="00603400" w:rsidRDefault="00E4255D" w:rsidP="00603400">
      <w:pPr>
        <w:pStyle w:val="ListParagraph"/>
        <w:numPr>
          <w:ilvl w:val="0"/>
          <w:numId w:val="3"/>
        </w:numPr>
      </w:pPr>
      <w:r>
        <w:t>Contact with metal (spatulas, containers, plumbing, etc.)</w:t>
      </w:r>
    </w:p>
    <w:p w14:paraId="64D1EA96" w14:textId="77777777" w:rsidR="00603400" w:rsidRDefault="00E4255D" w:rsidP="00AA16E2">
      <w:r>
        <w:t xml:space="preserve">Purification should rely on extraction and precipitation only, </w:t>
      </w:r>
      <w:r w:rsidR="00322B61">
        <w:t>if possible</w:t>
      </w:r>
      <w:r>
        <w:t>.</w:t>
      </w:r>
    </w:p>
    <w:p w14:paraId="64216876" w14:textId="77777777" w:rsidR="00A613B6" w:rsidRDefault="00A613B6" w:rsidP="00AA16E2">
      <w:r>
        <w:rPr>
          <w:b/>
        </w:rPr>
        <w:t>Decontamination</w:t>
      </w:r>
    </w:p>
    <w:p w14:paraId="70B16D40" w14:textId="77777777" w:rsidR="00A613B6" w:rsidRDefault="00CA2AE7" w:rsidP="00AA16E2">
      <w:r w:rsidRPr="008C13EE">
        <w:t xml:space="preserve">Wearing proper PPE, </w:t>
      </w:r>
      <w:r>
        <w:t>w</w:t>
      </w:r>
      <w:r w:rsidRPr="008C13EE">
        <w:t>ipe up any residu</w:t>
      </w:r>
      <w:r>
        <w:t xml:space="preserve">e </w:t>
      </w:r>
      <w:r w:rsidRPr="008C13EE">
        <w:t>with absorbent pads and clean the area with soap and water</w:t>
      </w:r>
      <w:r>
        <w:t xml:space="preserve">. </w:t>
      </w:r>
      <w:r w:rsidRPr="008C13EE">
        <w:t xml:space="preserve">Dispose of the contaminated disposables as </w:t>
      </w:r>
      <w:r>
        <w:t>Extremely Hazardous W</w:t>
      </w:r>
      <w:r w:rsidRPr="008C13EE">
        <w:t>aste</w:t>
      </w:r>
      <w:r>
        <w:t>, as described below.</w:t>
      </w:r>
    </w:p>
    <w:p w14:paraId="61B93027" w14:textId="77777777" w:rsidR="00E4255D" w:rsidRDefault="00E4255D" w:rsidP="00AA16E2"/>
    <w:p w14:paraId="18792468" w14:textId="77777777" w:rsidR="00A613B6" w:rsidRDefault="00A613B6" w:rsidP="00A613B6">
      <w:pPr>
        <w:pStyle w:val="Heading2"/>
      </w:pPr>
      <w:r>
        <w:t>Waste Management</w:t>
      </w:r>
    </w:p>
    <w:p w14:paraId="7A767442" w14:textId="77777777" w:rsidR="00A613B6" w:rsidRDefault="00CA2AE7" w:rsidP="00A613B6">
      <w:r>
        <w:t>Azide</w:t>
      </w:r>
      <w:r w:rsidR="00D67D59">
        <w:t xml:space="preserve"> waste is considered </w:t>
      </w:r>
      <w:hyperlink r:id="rId10" w:history="1">
        <w:r w:rsidR="00D67D59" w:rsidRPr="008D0E9A">
          <w:rPr>
            <w:rStyle w:val="Hyperlink"/>
            <w:i/>
          </w:rPr>
          <w:t>Extremely Hazardous Waste</w:t>
        </w:r>
      </w:hyperlink>
      <w:r w:rsidR="00D67D59">
        <w:rPr>
          <w:i/>
        </w:rPr>
        <w:t xml:space="preserve"> </w:t>
      </w:r>
      <w:r w:rsidR="00D67D59">
        <w:t>and should be handled as described in the UC Santa Barbara Chemical Hygiene Plan.  This includes disposing of the emptied original container as hazardous waste through EH&amp;S.</w:t>
      </w:r>
    </w:p>
    <w:p w14:paraId="2D56F6F2" w14:textId="77777777" w:rsidR="00CA2AE7" w:rsidRDefault="00CA2AE7" w:rsidP="00A613B6">
      <w:r w:rsidRPr="00E06F93">
        <w:rPr>
          <w:b/>
          <w:u w:val="single"/>
        </w:rPr>
        <w:t xml:space="preserve">Do not mix </w:t>
      </w:r>
      <w:r>
        <w:rPr>
          <w:b/>
          <w:u w:val="single"/>
        </w:rPr>
        <w:t>azide</w:t>
      </w:r>
      <w:r w:rsidRPr="00E06F93">
        <w:rPr>
          <w:b/>
          <w:u w:val="single"/>
        </w:rPr>
        <w:t xml:space="preserve"> waste streams with those containing acids, acid salts</w:t>
      </w:r>
      <w:r>
        <w:rPr>
          <w:b/>
          <w:u w:val="single"/>
        </w:rPr>
        <w:t>, chlorinated solvents</w:t>
      </w:r>
      <w:r w:rsidRPr="00E06F93">
        <w:rPr>
          <w:b/>
          <w:u w:val="single"/>
        </w:rPr>
        <w:t xml:space="preserve"> or </w:t>
      </w:r>
      <w:r>
        <w:rPr>
          <w:b/>
          <w:u w:val="single"/>
        </w:rPr>
        <w:t>heavy metals</w:t>
      </w:r>
      <w:r w:rsidRPr="00E06F93">
        <w:rPr>
          <w:b/>
          <w:u w:val="single"/>
        </w:rPr>
        <w:t>!</w:t>
      </w:r>
      <w:r>
        <w:t xml:space="preserve">  Keep the waste at pH &gt; 9 at all times.</w:t>
      </w:r>
      <w:r w:rsidR="00603400">
        <w:t xml:space="preserve">  </w:t>
      </w:r>
      <w:r w:rsidR="00575012">
        <w:t>S</w:t>
      </w:r>
      <w:r w:rsidR="00603400">
        <w:t>egregate azide waste from all other waste, and have the waste removed from the lab as quickly as possible.</w:t>
      </w:r>
    </w:p>
    <w:p w14:paraId="7C4C7C33" w14:textId="77777777" w:rsidR="00CA2AE7" w:rsidRDefault="00CA2AE7" w:rsidP="00A613B6">
      <w:r>
        <w:t>Do not use waste containers or lids made of metal.</w:t>
      </w:r>
    </w:p>
    <w:p w14:paraId="1D45AC03" w14:textId="77777777" w:rsidR="00CA2AE7" w:rsidRDefault="00CA2AE7" w:rsidP="00A613B6"/>
    <w:p w14:paraId="14E4AFC2" w14:textId="77777777" w:rsidR="00A613B6" w:rsidRDefault="00A613B6" w:rsidP="00A613B6">
      <w:pPr>
        <w:pStyle w:val="Heading2"/>
      </w:pPr>
      <w:r>
        <w:t>First Aid and Emergencies</w:t>
      </w:r>
    </w:p>
    <w:p w14:paraId="24374F97" w14:textId="77777777" w:rsidR="00AB12CE" w:rsidRDefault="00AB12CE" w:rsidP="00AB12CE">
      <w:pPr>
        <w:rPr>
          <w:b/>
        </w:rPr>
      </w:pPr>
      <w:r>
        <w:rPr>
          <w:b/>
        </w:rPr>
        <w:t>Spill</w:t>
      </w:r>
    </w:p>
    <w:p w14:paraId="78F50A7A" w14:textId="77777777" w:rsidR="00AB12CE" w:rsidRPr="00AB12CE" w:rsidRDefault="00575012" w:rsidP="00AB12CE">
      <w:r>
        <w:t>Treat all spills of these materials as a major spill.  Do not attempt to clean up the spill yourself.  Notify others in the area of the spill, including your supervisor.  Evacuate the area and call 911.  Remain on-site at a safe distance to provide detailed response to first responders.  Report any exposures to EH&amp;S.</w:t>
      </w:r>
    </w:p>
    <w:p w14:paraId="6B9FD41E" w14:textId="77777777" w:rsidR="00AB12CE" w:rsidRDefault="00AB12CE" w:rsidP="00AB12CE">
      <w:r>
        <w:rPr>
          <w:b/>
        </w:rPr>
        <w:t>Fire</w:t>
      </w:r>
    </w:p>
    <w:p w14:paraId="6D996F04" w14:textId="77777777" w:rsidR="00AB12CE" w:rsidRDefault="00C92714" w:rsidP="00AB12CE">
      <w:r>
        <w:t>Standard firefighting measures apply.</w:t>
      </w:r>
    </w:p>
    <w:p w14:paraId="3244F0DA" w14:textId="77777777" w:rsidR="00AB12CE" w:rsidRPr="00AB12CE" w:rsidRDefault="00AB12CE" w:rsidP="00AB12CE">
      <w:pPr>
        <w:rPr>
          <w:b/>
        </w:rPr>
      </w:pPr>
      <w:r>
        <w:rPr>
          <w:b/>
        </w:rPr>
        <w:t>Personnel Exposure</w:t>
      </w:r>
    </w:p>
    <w:p w14:paraId="19D8B38A" w14:textId="77777777" w:rsidR="00C92714" w:rsidRDefault="00C92714" w:rsidP="00C92714">
      <w:r>
        <w:rPr>
          <w:i/>
        </w:rPr>
        <w:t xml:space="preserve">Skin or eye contact:  </w:t>
      </w:r>
      <w:r>
        <w:t>Remove contaminated attire.  Wash skin with soap and water.  Flush area with water for 15 minutes.</w:t>
      </w:r>
      <w:r w:rsidR="00322B61">
        <w:t xml:space="preserve">  </w:t>
      </w:r>
      <w:r>
        <w:t>Get medical attention immediately.</w:t>
      </w:r>
    </w:p>
    <w:p w14:paraId="296C6E88" w14:textId="77777777" w:rsidR="00C92714" w:rsidRDefault="00C92714" w:rsidP="00C92714">
      <w:r>
        <w:rPr>
          <w:i/>
        </w:rPr>
        <w:lastRenderedPageBreak/>
        <w:t xml:space="preserve">Inhalation:  </w:t>
      </w:r>
      <w:r>
        <w:t>Move person to fresh air.  Get medical attention immediately.</w:t>
      </w:r>
    </w:p>
    <w:p w14:paraId="3FD91021" w14:textId="77777777" w:rsidR="00C92714" w:rsidRDefault="00C92714" w:rsidP="00C92714">
      <w:r>
        <w:rPr>
          <w:i/>
        </w:rPr>
        <w:t xml:space="preserve">Ingestion:  </w:t>
      </w:r>
      <w:r>
        <w:t>Rinse mouth with water.  Get medical attention immediately.</w:t>
      </w:r>
    </w:p>
    <w:p w14:paraId="054C88B9" w14:textId="77777777" w:rsidR="00A613B6" w:rsidRDefault="00A613B6" w:rsidP="00A613B6"/>
    <w:p w14:paraId="6425E6AA" w14:textId="77777777" w:rsidR="008C5EA6" w:rsidRPr="00445EEB" w:rsidRDefault="008C5EA6" w:rsidP="008C5EA6">
      <w:pPr>
        <w:pStyle w:val="Heading2"/>
        <w:rPr>
          <w:color w:val="C00000"/>
        </w:rPr>
      </w:pPr>
      <w:r w:rsidRPr="00445EEB">
        <w:rPr>
          <w:color w:val="C00000"/>
        </w:rPr>
        <w:t>Laboratory Specific Information</w:t>
      </w:r>
    </w:p>
    <w:p w14:paraId="1D0EF036" w14:textId="77777777" w:rsidR="008C5EA6" w:rsidRPr="00445EEB" w:rsidRDefault="008C5EA6" w:rsidP="008C5EA6">
      <w:pPr>
        <w:rPr>
          <w:b/>
          <w:color w:val="C00000"/>
        </w:rPr>
      </w:pPr>
      <w:r w:rsidRPr="00445EEB">
        <w:rPr>
          <w:b/>
          <w:color w:val="C00000"/>
        </w:rPr>
        <w:t>Prior Approval</w:t>
      </w:r>
      <w:r w:rsidR="00545047" w:rsidRPr="00445EEB">
        <w:rPr>
          <w:b/>
          <w:color w:val="C00000"/>
        </w:rPr>
        <w:t xml:space="preserve"> </w:t>
      </w:r>
      <w:r w:rsidR="00A322A9" w:rsidRPr="00445EEB">
        <w:rPr>
          <w:b/>
          <w:color w:val="C00000"/>
        </w:rPr>
        <w:t>Required</w:t>
      </w:r>
    </w:p>
    <w:p w14:paraId="61220309" w14:textId="77777777" w:rsidR="00545047" w:rsidRPr="00445EEB" w:rsidRDefault="002B7C0A" w:rsidP="00545047">
      <w:pPr>
        <w:ind w:left="720"/>
        <w:rPr>
          <w:b/>
          <w:color w:val="C00000"/>
        </w:rPr>
      </w:pPr>
      <w:sdt>
        <w:sdtPr>
          <w:rPr>
            <w:b/>
            <w:color w:val="C00000"/>
          </w:rPr>
          <w:id w:val="-13295149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5047" w:rsidRPr="00445EEB">
            <w:rPr>
              <w:rFonts w:ascii="MS Gothic" w:eastAsia="MS Gothic" w:hAnsi="MS Gothic" w:hint="eastAsia"/>
              <w:b/>
              <w:color w:val="C00000"/>
            </w:rPr>
            <w:t>☐</w:t>
          </w:r>
        </w:sdtContent>
      </w:sdt>
      <w:r w:rsidR="00545047" w:rsidRPr="00445EEB">
        <w:rPr>
          <w:b/>
          <w:color w:val="C00000"/>
        </w:rPr>
        <w:t xml:space="preserve">  NO</w:t>
      </w:r>
    </w:p>
    <w:p w14:paraId="70DB4BAE" w14:textId="77777777" w:rsidR="00545047" w:rsidRPr="00445EEB" w:rsidRDefault="002B7C0A" w:rsidP="00545047">
      <w:pPr>
        <w:ind w:left="720"/>
        <w:rPr>
          <w:b/>
          <w:color w:val="C00000"/>
        </w:rPr>
      </w:pPr>
      <w:sdt>
        <w:sdtPr>
          <w:rPr>
            <w:b/>
            <w:color w:val="C00000"/>
          </w:rPr>
          <w:id w:val="3481458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5047" w:rsidRPr="00445EEB">
            <w:rPr>
              <w:rFonts w:ascii="MS Gothic" w:eastAsia="MS Gothic" w:hAnsi="MS Gothic" w:hint="eastAsia"/>
              <w:b/>
              <w:color w:val="C00000"/>
            </w:rPr>
            <w:t>☐</w:t>
          </w:r>
        </w:sdtContent>
      </w:sdt>
      <w:r w:rsidR="00545047" w:rsidRPr="00445EEB">
        <w:rPr>
          <w:b/>
          <w:color w:val="C00000"/>
        </w:rPr>
        <w:t xml:space="preserve">  YES (describe):</w:t>
      </w:r>
    </w:p>
    <w:p w14:paraId="27F34321" w14:textId="77777777" w:rsidR="008C5EA6" w:rsidRPr="00445EEB" w:rsidRDefault="008C5EA6" w:rsidP="008C5EA6">
      <w:pPr>
        <w:rPr>
          <w:color w:val="C00000"/>
        </w:rPr>
      </w:pPr>
    </w:p>
    <w:p w14:paraId="3A6318A3" w14:textId="77777777" w:rsidR="008C5EA6" w:rsidRPr="00445EEB" w:rsidRDefault="008C5EA6" w:rsidP="008C5EA6">
      <w:pPr>
        <w:rPr>
          <w:b/>
          <w:color w:val="C00000"/>
        </w:rPr>
      </w:pPr>
      <w:r w:rsidRPr="00445EEB">
        <w:rPr>
          <w:b/>
          <w:color w:val="C00000"/>
        </w:rPr>
        <w:t>Designated Area</w:t>
      </w:r>
    </w:p>
    <w:p w14:paraId="06B50248" w14:textId="77777777" w:rsidR="00A039F9" w:rsidRPr="00445EEB" w:rsidRDefault="002B7C0A" w:rsidP="00A039F9">
      <w:pPr>
        <w:ind w:left="720"/>
        <w:rPr>
          <w:b/>
          <w:color w:val="C00000"/>
        </w:rPr>
      </w:pPr>
      <w:sdt>
        <w:sdtPr>
          <w:rPr>
            <w:b/>
            <w:color w:val="C00000"/>
          </w:rPr>
          <w:id w:val="17146259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5047" w:rsidRPr="00445EEB">
            <w:rPr>
              <w:rFonts w:ascii="MS Gothic" w:eastAsia="MS Gothic" w:hAnsi="MS Gothic" w:hint="eastAsia"/>
              <w:b/>
              <w:color w:val="C00000"/>
            </w:rPr>
            <w:t>☐</w:t>
          </w:r>
        </w:sdtContent>
      </w:sdt>
      <w:r w:rsidR="00545047" w:rsidRPr="00445EEB">
        <w:rPr>
          <w:b/>
          <w:color w:val="C00000"/>
        </w:rPr>
        <w:t xml:space="preserve">  </w:t>
      </w:r>
      <w:r w:rsidR="00A039F9" w:rsidRPr="00445EEB">
        <w:rPr>
          <w:b/>
          <w:color w:val="C00000"/>
        </w:rPr>
        <w:t>Entire Laboratory Area</w:t>
      </w:r>
    </w:p>
    <w:p w14:paraId="69252832" w14:textId="77777777" w:rsidR="00A039F9" w:rsidRPr="00445EEB" w:rsidRDefault="002B7C0A" w:rsidP="00A039F9">
      <w:pPr>
        <w:ind w:left="720"/>
        <w:rPr>
          <w:b/>
          <w:color w:val="C00000"/>
        </w:rPr>
      </w:pPr>
      <w:sdt>
        <w:sdtPr>
          <w:rPr>
            <w:b/>
            <w:color w:val="C00000"/>
          </w:rPr>
          <w:id w:val="17674967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5047" w:rsidRPr="00445EEB">
            <w:rPr>
              <w:rFonts w:ascii="MS Gothic" w:eastAsia="MS Gothic" w:hAnsi="MS Gothic" w:hint="eastAsia"/>
              <w:b/>
              <w:color w:val="C00000"/>
            </w:rPr>
            <w:t>☐</w:t>
          </w:r>
        </w:sdtContent>
      </w:sdt>
      <w:r w:rsidR="00545047" w:rsidRPr="00445EEB">
        <w:rPr>
          <w:b/>
          <w:color w:val="C00000"/>
        </w:rPr>
        <w:t xml:space="preserve">  </w:t>
      </w:r>
      <w:r w:rsidR="00A039F9" w:rsidRPr="00445EEB">
        <w:rPr>
          <w:b/>
          <w:color w:val="C00000"/>
        </w:rPr>
        <w:t>Other</w:t>
      </w:r>
      <w:r w:rsidR="00545047" w:rsidRPr="00445EEB">
        <w:rPr>
          <w:b/>
          <w:color w:val="C00000"/>
        </w:rPr>
        <w:t xml:space="preserve"> (describe):</w:t>
      </w:r>
    </w:p>
    <w:p w14:paraId="5183EE2A" w14:textId="77777777" w:rsidR="008C5EA6" w:rsidRPr="00445EEB" w:rsidRDefault="008C5EA6" w:rsidP="008C5EA6">
      <w:pPr>
        <w:rPr>
          <w:color w:val="C00000"/>
        </w:rPr>
      </w:pPr>
    </w:p>
    <w:p w14:paraId="4D549F98" w14:textId="77777777" w:rsidR="008C5EA6" w:rsidRPr="00445EEB" w:rsidRDefault="00F142DA" w:rsidP="008C5EA6">
      <w:pPr>
        <w:rPr>
          <w:b/>
          <w:color w:val="C00000"/>
        </w:rPr>
      </w:pPr>
      <w:r w:rsidRPr="00445EEB">
        <w:rPr>
          <w:b/>
          <w:color w:val="C00000"/>
        </w:rPr>
        <w:t>Experimental Conditions of Use</w:t>
      </w:r>
    </w:p>
    <w:p w14:paraId="427B57FF" w14:textId="77777777" w:rsidR="00F142DA" w:rsidRPr="00445EEB" w:rsidRDefault="00F142DA" w:rsidP="00F142DA">
      <w:pPr>
        <w:ind w:left="720"/>
        <w:rPr>
          <w:b/>
          <w:color w:val="C00000"/>
        </w:rPr>
      </w:pPr>
      <w:r w:rsidRPr="00445EEB">
        <w:rPr>
          <w:b/>
          <w:color w:val="C00000"/>
        </w:rPr>
        <w:t>Temperature Range</w:t>
      </w:r>
      <w:r w:rsidR="00545047" w:rsidRPr="00445EEB">
        <w:rPr>
          <w:b/>
          <w:color w:val="C00000"/>
        </w:rPr>
        <w:t>:</w:t>
      </w:r>
    </w:p>
    <w:p w14:paraId="10EB99F2" w14:textId="77777777" w:rsidR="00545047" w:rsidRPr="00445EEB" w:rsidRDefault="00545047" w:rsidP="00F142DA">
      <w:pPr>
        <w:ind w:left="720"/>
        <w:rPr>
          <w:b/>
          <w:color w:val="C00000"/>
        </w:rPr>
      </w:pPr>
    </w:p>
    <w:p w14:paraId="397D9741" w14:textId="77777777" w:rsidR="00F142DA" w:rsidRPr="00445EEB" w:rsidRDefault="00F142DA" w:rsidP="00F142DA">
      <w:pPr>
        <w:ind w:left="720"/>
        <w:rPr>
          <w:b/>
          <w:color w:val="C00000"/>
        </w:rPr>
      </w:pPr>
      <w:r w:rsidRPr="00445EEB">
        <w:rPr>
          <w:b/>
          <w:color w:val="C00000"/>
        </w:rPr>
        <w:t>Pressure Range</w:t>
      </w:r>
      <w:r w:rsidR="00545047" w:rsidRPr="00445EEB">
        <w:rPr>
          <w:b/>
          <w:color w:val="C00000"/>
        </w:rPr>
        <w:t>:</w:t>
      </w:r>
    </w:p>
    <w:p w14:paraId="22207740" w14:textId="77777777" w:rsidR="00545047" w:rsidRPr="00445EEB" w:rsidRDefault="00545047" w:rsidP="00F142DA">
      <w:pPr>
        <w:ind w:left="720"/>
        <w:rPr>
          <w:b/>
          <w:color w:val="C00000"/>
        </w:rPr>
      </w:pPr>
    </w:p>
    <w:p w14:paraId="528B9589" w14:textId="77777777" w:rsidR="00F142DA" w:rsidRPr="00445EEB" w:rsidRDefault="00F142DA" w:rsidP="00F142DA">
      <w:pPr>
        <w:ind w:left="720"/>
        <w:rPr>
          <w:b/>
          <w:color w:val="C00000"/>
        </w:rPr>
      </w:pPr>
      <w:r w:rsidRPr="00445EEB">
        <w:rPr>
          <w:b/>
          <w:color w:val="C00000"/>
        </w:rPr>
        <w:t>Scale Range</w:t>
      </w:r>
      <w:r w:rsidR="00545047" w:rsidRPr="00445EEB">
        <w:rPr>
          <w:b/>
          <w:color w:val="C00000"/>
        </w:rPr>
        <w:t>:</w:t>
      </w:r>
    </w:p>
    <w:p w14:paraId="4FF486F4" w14:textId="77777777" w:rsidR="00545047" w:rsidRPr="00445EEB" w:rsidRDefault="00545047" w:rsidP="00F142DA">
      <w:pPr>
        <w:ind w:left="720"/>
        <w:rPr>
          <w:b/>
          <w:color w:val="C00000"/>
        </w:rPr>
      </w:pPr>
    </w:p>
    <w:p w14:paraId="72EA24D7" w14:textId="77777777" w:rsidR="00F142DA" w:rsidRPr="00445EEB" w:rsidRDefault="00F142DA" w:rsidP="00F142DA">
      <w:pPr>
        <w:ind w:left="720"/>
        <w:rPr>
          <w:b/>
          <w:color w:val="C00000"/>
        </w:rPr>
      </w:pPr>
      <w:r w:rsidRPr="00445EEB">
        <w:rPr>
          <w:b/>
          <w:color w:val="C00000"/>
        </w:rPr>
        <w:t>Other Relevant Details</w:t>
      </w:r>
      <w:r w:rsidR="00545047" w:rsidRPr="00445EEB">
        <w:rPr>
          <w:b/>
          <w:color w:val="C00000"/>
        </w:rPr>
        <w:t>:</w:t>
      </w:r>
    </w:p>
    <w:p w14:paraId="1B944305" w14:textId="77777777" w:rsidR="00E4255D" w:rsidRPr="00445EEB" w:rsidRDefault="00E4255D" w:rsidP="00F142DA">
      <w:pPr>
        <w:ind w:left="720"/>
        <w:rPr>
          <w:b/>
          <w:color w:val="C00000"/>
        </w:rPr>
      </w:pPr>
    </w:p>
    <w:p w14:paraId="21DBD47C" w14:textId="77777777" w:rsidR="00E4255D" w:rsidRDefault="00E4255D" w:rsidP="00E4255D">
      <w:pPr>
        <w:rPr>
          <w:b/>
        </w:rPr>
      </w:pPr>
      <w:r>
        <w:rPr>
          <w:b/>
        </w:rPr>
        <w:t>Additional Resources</w:t>
      </w:r>
    </w:p>
    <w:p w14:paraId="09735F55" w14:textId="77777777" w:rsidR="00E4255D" w:rsidRPr="00E4255D" w:rsidRDefault="002B7C0A" w:rsidP="00E4255D">
      <w:pPr>
        <w:pStyle w:val="ListParagraph"/>
        <w:numPr>
          <w:ilvl w:val="0"/>
          <w:numId w:val="4"/>
        </w:numPr>
        <w:rPr>
          <w:b/>
        </w:rPr>
      </w:pPr>
      <w:hyperlink r:id="rId11" w:history="1">
        <w:r w:rsidR="00E4255D" w:rsidRPr="00E4255D">
          <w:rPr>
            <w:rStyle w:val="Hyperlink"/>
          </w:rPr>
          <w:t>Organic Azides Synthesis and Applications Brase, S., Banert, K. Editors, John Wiley and Sons Ltd., 2010</w:t>
        </w:r>
      </w:hyperlink>
    </w:p>
    <w:p w14:paraId="2A1D01E4" w14:textId="77777777" w:rsidR="00E4255D" w:rsidRPr="00E4255D" w:rsidRDefault="002B7C0A" w:rsidP="00E4255D">
      <w:pPr>
        <w:pStyle w:val="ListParagraph"/>
        <w:numPr>
          <w:ilvl w:val="0"/>
          <w:numId w:val="4"/>
        </w:numPr>
        <w:rPr>
          <w:rFonts w:cstheme="minorHAnsi"/>
          <w:b/>
        </w:rPr>
      </w:pPr>
      <w:hyperlink r:id="rId12" w:history="1">
        <w:r w:rsidR="00E4255D" w:rsidRPr="00E4255D">
          <w:rPr>
            <w:rStyle w:val="Hyperlink"/>
            <w:rFonts w:cstheme="minorHAnsi"/>
          </w:rPr>
          <w:t xml:space="preserve">Brase, S.; Gil, C.; Knepper, K.; Zimmerman, V. </w:t>
        </w:r>
        <w:r w:rsidR="00E4255D" w:rsidRPr="00E4255D">
          <w:rPr>
            <w:rStyle w:val="Hyperlink"/>
            <w:rFonts w:cstheme="minorHAnsi"/>
            <w:i/>
            <w:iCs/>
          </w:rPr>
          <w:t xml:space="preserve">Angew. Chem. Int. Ed. </w:t>
        </w:r>
        <w:r w:rsidR="00E4255D" w:rsidRPr="00E4255D">
          <w:rPr>
            <w:rStyle w:val="Hyperlink"/>
            <w:rFonts w:cstheme="minorHAnsi"/>
            <w:b/>
            <w:bCs/>
          </w:rPr>
          <w:t>2005</w:t>
        </w:r>
        <w:r w:rsidR="00E4255D" w:rsidRPr="00E4255D">
          <w:rPr>
            <w:rStyle w:val="Hyperlink"/>
            <w:rFonts w:cstheme="minorHAnsi"/>
          </w:rPr>
          <w:t xml:space="preserve">, </w:t>
        </w:r>
        <w:r w:rsidR="00E4255D" w:rsidRPr="00E4255D">
          <w:rPr>
            <w:rStyle w:val="Hyperlink"/>
            <w:rFonts w:cstheme="minorHAnsi"/>
            <w:i/>
            <w:iCs/>
          </w:rPr>
          <w:t>44</w:t>
        </w:r>
        <w:r w:rsidR="00E4255D" w:rsidRPr="00E4255D">
          <w:rPr>
            <w:rStyle w:val="Hyperlink"/>
            <w:rFonts w:cstheme="minorHAnsi"/>
          </w:rPr>
          <w:t>, 5188-5240. And all references therein.</w:t>
        </w:r>
      </w:hyperlink>
    </w:p>
    <w:p w14:paraId="35DE62A4" w14:textId="77777777" w:rsidR="00E4255D" w:rsidRPr="00575012" w:rsidRDefault="00575012" w:rsidP="00E4255D">
      <w:pPr>
        <w:pStyle w:val="ListParagraph"/>
        <w:numPr>
          <w:ilvl w:val="0"/>
          <w:numId w:val="4"/>
        </w:numPr>
        <w:rPr>
          <w:rStyle w:val="Hyperlink"/>
          <w:rFonts w:cstheme="minorHAnsi"/>
          <w:b/>
        </w:rPr>
      </w:pPr>
      <w:r>
        <w:rPr>
          <w:rFonts w:cstheme="minorHAnsi"/>
          <w:b/>
        </w:rPr>
        <w:fldChar w:fldCharType="begin"/>
      </w:r>
      <w:r>
        <w:rPr>
          <w:rFonts w:cstheme="minorHAnsi"/>
          <w:b/>
        </w:rPr>
        <w:instrText xml:space="preserve"> HYPERLINK "https://emergency.cdc.gov/agent/sodiumazide/basics/facts.asp" </w:instrText>
      </w:r>
      <w:r>
        <w:rPr>
          <w:rFonts w:cstheme="minorHAnsi"/>
          <w:b/>
        </w:rPr>
        <w:fldChar w:fldCharType="separate"/>
      </w:r>
      <w:r w:rsidRPr="00575012">
        <w:rPr>
          <w:rStyle w:val="Hyperlink"/>
          <w:rFonts w:cstheme="minorHAnsi"/>
          <w:b/>
        </w:rPr>
        <w:t xml:space="preserve">CDC:  Facts about Sodium </w:t>
      </w:r>
      <w:proofErr w:type="spellStart"/>
      <w:r w:rsidRPr="00575012">
        <w:rPr>
          <w:rStyle w:val="Hyperlink"/>
          <w:rFonts w:cstheme="minorHAnsi"/>
          <w:b/>
        </w:rPr>
        <w:t>Azide</w:t>
      </w:r>
      <w:proofErr w:type="spellEnd"/>
    </w:p>
    <w:p w14:paraId="2F7B0D1D" w14:textId="77777777" w:rsidR="00575012" w:rsidRPr="00E4255D" w:rsidRDefault="00575012" w:rsidP="00575012">
      <w:pPr>
        <w:pStyle w:val="ListParagraph"/>
        <w:rPr>
          <w:rFonts w:cstheme="minorHAnsi"/>
          <w:b/>
        </w:rPr>
      </w:pPr>
      <w:r>
        <w:rPr>
          <w:rFonts w:cstheme="minorHAnsi"/>
          <w:b/>
        </w:rPr>
        <w:fldChar w:fldCharType="end"/>
      </w:r>
    </w:p>
    <w:sectPr w:rsidR="00575012" w:rsidRPr="00E4255D" w:rsidSect="00CE3517">
      <w:headerReference w:type="default" r:id="rId13"/>
      <w:footerReference w:type="even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F50D5D" w14:textId="77777777" w:rsidR="002B7C0A" w:rsidRDefault="002B7C0A" w:rsidP="006C29CD">
      <w:pPr>
        <w:spacing w:after="0" w:line="240" w:lineRule="auto"/>
      </w:pPr>
      <w:r>
        <w:separator/>
      </w:r>
    </w:p>
  </w:endnote>
  <w:endnote w:type="continuationSeparator" w:id="0">
    <w:p w14:paraId="67247173" w14:textId="77777777" w:rsidR="002B7C0A" w:rsidRDefault="002B7C0A" w:rsidP="006C2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3B1A9" w14:textId="77777777" w:rsidR="00E4255D" w:rsidRDefault="00E4255D">
    <w:pPr>
      <w:pStyle w:val="Footer"/>
    </w:pPr>
    <w:r>
      <w:t>Template Revision Date March,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D011D3" w14:textId="77777777" w:rsidR="002B7C0A" w:rsidRDefault="002B7C0A" w:rsidP="006C29CD">
      <w:pPr>
        <w:spacing w:after="0" w:line="240" w:lineRule="auto"/>
      </w:pPr>
      <w:r>
        <w:separator/>
      </w:r>
    </w:p>
  </w:footnote>
  <w:footnote w:type="continuationSeparator" w:id="0">
    <w:p w14:paraId="7820698B" w14:textId="77777777" w:rsidR="002B7C0A" w:rsidRDefault="002B7C0A" w:rsidP="006C29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5B9FF" w14:textId="77777777" w:rsidR="006C29CD" w:rsidRPr="000D2FAB" w:rsidRDefault="006C29CD" w:rsidP="00C62568">
    <w:pPr>
      <w:shd w:val="clear" w:color="auto" w:fill="E7E6E6" w:themeFill="background2"/>
      <w:rPr>
        <w:i/>
        <w:sz w:val="18"/>
        <w:szCs w:val="18"/>
      </w:rPr>
    </w:pPr>
    <w:r w:rsidRPr="006C29CD">
      <w:rPr>
        <w:i/>
        <w:sz w:val="18"/>
        <w:szCs w:val="18"/>
      </w:rPr>
      <w:t>This document is an addendum to the UC Santa Barbara Chemical Hygiene Plan, and covers addi</w:t>
    </w:r>
    <w:r w:rsidR="00545DCD">
      <w:rPr>
        <w:i/>
        <w:sz w:val="18"/>
        <w:szCs w:val="18"/>
      </w:rPr>
      <w:t>tional information on the safe</w:t>
    </w:r>
    <w:r w:rsidRPr="006C29CD">
      <w:rPr>
        <w:i/>
        <w:sz w:val="18"/>
        <w:szCs w:val="18"/>
      </w:rPr>
      <w:t xml:space="preserve"> handling and storage </w:t>
    </w:r>
    <w:r w:rsidR="004761A6">
      <w:rPr>
        <w:i/>
        <w:sz w:val="18"/>
        <w:szCs w:val="18"/>
      </w:rPr>
      <w:t>of the materials described</w:t>
    </w:r>
    <w:r w:rsidRPr="006C29CD">
      <w:rPr>
        <w:i/>
        <w:sz w:val="18"/>
        <w:szCs w:val="18"/>
      </w:rPr>
      <w:t xml:space="preserve"> beyond the practices described therein.  Users must be familiar wit</w:t>
    </w:r>
    <w:r w:rsidR="00545DCD">
      <w:rPr>
        <w:i/>
        <w:sz w:val="18"/>
        <w:szCs w:val="18"/>
      </w:rPr>
      <w:t>h the UC Santa Barbara Chemical</w:t>
    </w:r>
    <w:r w:rsidRPr="006C29CD">
      <w:rPr>
        <w:i/>
        <w:sz w:val="18"/>
        <w:szCs w:val="18"/>
      </w:rPr>
      <w:t xml:space="preserve"> Hygiene Plan before utilizing this SOP.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30C1C"/>
    <w:multiLevelType w:val="hybridMultilevel"/>
    <w:tmpl w:val="6DC6A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B26899"/>
    <w:multiLevelType w:val="hybridMultilevel"/>
    <w:tmpl w:val="21FAFD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D95EA9"/>
    <w:multiLevelType w:val="hybridMultilevel"/>
    <w:tmpl w:val="7C8EF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D94696"/>
    <w:multiLevelType w:val="hybridMultilevel"/>
    <w:tmpl w:val="4F70CD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9CD"/>
    <w:rsid w:val="000C0085"/>
    <w:rsid w:val="000D2FAB"/>
    <w:rsid w:val="00150063"/>
    <w:rsid w:val="001B0468"/>
    <w:rsid w:val="00263B8E"/>
    <w:rsid w:val="00275DF7"/>
    <w:rsid w:val="00290938"/>
    <w:rsid w:val="0029416F"/>
    <w:rsid w:val="002B7C0A"/>
    <w:rsid w:val="002D27A8"/>
    <w:rsid w:val="00322B61"/>
    <w:rsid w:val="00445EEB"/>
    <w:rsid w:val="00467155"/>
    <w:rsid w:val="004761A6"/>
    <w:rsid w:val="00526C74"/>
    <w:rsid w:val="00545047"/>
    <w:rsid w:val="00545DCD"/>
    <w:rsid w:val="00575012"/>
    <w:rsid w:val="00601700"/>
    <w:rsid w:val="00603400"/>
    <w:rsid w:val="006C29CD"/>
    <w:rsid w:val="006C361A"/>
    <w:rsid w:val="006F4F65"/>
    <w:rsid w:val="00703985"/>
    <w:rsid w:val="008954EB"/>
    <w:rsid w:val="008C5EA6"/>
    <w:rsid w:val="00934389"/>
    <w:rsid w:val="00A039F9"/>
    <w:rsid w:val="00A322A9"/>
    <w:rsid w:val="00A42629"/>
    <w:rsid w:val="00A613B6"/>
    <w:rsid w:val="00AA16E2"/>
    <w:rsid w:val="00AB12CE"/>
    <w:rsid w:val="00B15690"/>
    <w:rsid w:val="00B753FE"/>
    <w:rsid w:val="00BB5BFF"/>
    <w:rsid w:val="00C62568"/>
    <w:rsid w:val="00C92714"/>
    <w:rsid w:val="00CA2AE7"/>
    <w:rsid w:val="00CB354D"/>
    <w:rsid w:val="00CD4031"/>
    <w:rsid w:val="00CE3517"/>
    <w:rsid w:val="00D67A1E"/>
    <w:rsid w:val="00D67D59"/>
    <w:rsid w:val="00DE5BB6"/>
    <w:rsid w:val="00E4255D"/>
    <w:rsid w:val="00F142DA"/>
    <w:rsid w:val="00F51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06B9EE"/>
  <w15:chartTrackingRefBased/>
  <w15:docId w15:val="{D865C72E-0489-4382-82E7-0AE5549A9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29C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C29C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29C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Spacing">
    <w:name w:val="No Spacing"/>
    <w:uiPriority w:val="1"/>
    <w:qFormat/>
    <w:rsid w:val="006C29CD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6C29C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6C29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29CD"/>
  </w:style>
  <w:style w:type="paragraph" w:styleId="Footer">
    <w:name w:val="footer"/>
    <w:basedOn w:val="Normal"/>
    <w:link w:val="FooterChar"/>
    <w:uiPriority w:val="99"/>
    <w:unhideWhenUsed/>
    <w:rsid w:val="006C29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29CD"/>
  </w:style>
  <w:style w:type="paragraph" w:styleId="ListParagraph">
    <w:name w:val="List Paragraph"/>
    <w:basedOn w:val="Normal"/>
    <w:uiPriority w:val="34"/>
    <w:qFormat/>
    <w:rsid w:val="00F142D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67D59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67D59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25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onlinelibrary.wiley.com/doi/10.1002/anie.200400657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researchgate.net/profile/Abdelkader_Bouaziz/post/How_can_we_convert_a_linear_azide_into_an_amine/attachment/59d625aec49f478072e9a733/AS%3A272166501715968%401441900958045/download/Organic+Azides+-+Syntheses+and+Applications.pdf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ehs.ucsb.edu/files/docs/hw/extreacuthazwaste.pdf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721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UCSB</Company>
  <LinksUpToDate>false</LinksUpToDate>
  <CharactersWithSpaces>4828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Moretto</dc:creator>
  <cp:keywords/>
  <dc:description/>
  <cp:lastModifiedBy>Alex Moretto</cp:lastModifiedBy>
  <cp:revision>2</cp:revision>
  <dcterms:created xsi:type="dcterms:W3CDTF">2026-04-14T23:15:00Z</dcterms:created>
  <dcterms:modified xsi:type="dcterms:W3CDTF">2026-04-14T23:15:00Z</dcterms:modified>
</cp:coreProperties>
</file>