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3138" w14:textId="77777777" w:rsidR="005B1C0D" w:rsidRPr="0087249E" w:rsidRDefault="005B1C0D" w:rsidP="005B1C0D">
      <w:pPr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48"/>
        </w:rPr>
      </w:pPr>
      <w:r w:rsidRPr="0087249E">
        <w:rPr>
          <w:rFonts w:asciiTheme="majorHAnsi" w:hAnsiTheme="majorHAnsi" w:cstheme="majorHAnsi"/>
          <w:b/>
          <w:color w:val="1F4E79" w:themeColor="accent1" w:themeShade="80"/>
          <w:sz w:val="48"/>
          <w:szCs w:val="48"/>
        </w:rPr>
        <w:t>Standard Operating Procedure (SOP)</w:t>
      </w:r>
    </w:p>
    <w:p w14:paraId="264A3E49" w14:textId="77777777" w:rsidR="005B1C0D" w:rsidRPr="0087249E" w:rsidRDefault="005B1C0D" w:rsidP="00720862">
      <w:pPr>
        <w:rPr>
          <w:rFonts w:asciiTheme="majorHAnsi" w:hAnsiTheme="majorHAnsi" w:cstheme="majorHAnsi"/>
          <w:color w:val="1F4E79" w:themeColor="accent1" w:themeShade="80"/>
          <w:sz w:val="26"/>
          <w:szCs w:val="26"/>
        </w:rPr>
      </w:pPr>
      <w:r w:rsidRPr="0087249E">
        <w:rPr>
          <w:rFonts w:asciiTheme="majorHAnsi" w:hAnsiTheme="majorHAnsi" w:cstheme="majorHAnsi"/>
          <w:color w:val="1F4E79" w:themeColor="accent1" w:themeShade="80"/>
          <w:sz w:val="26"/>
          <w:szCs w:val="26"/>
        </w:rPr>
        <w:t>Blank Template Instructions</w:t>
      </w:r>
    </w:p>
    <w:p w14:paraId="094443A0" w14:textId="77777777" w:rsidR="00632FB9" w:rsidRPr="00632FB9" w:rsidRDefault="00632FB9" w:rsidP="00632FB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2FB9">
        <w:rPr>
          <w:rFonts w:asciiTheme="minorHAnsi" w:hAnsiTheme="minorHAnsi" w:cstheme="minorHAnsi"/>
          <w:color w:val="auto"/>
          <w:sz w:val="22"/>
          <w:szCs w:val="22"/>
        </w:rPr>
        <w:t>Standard Operating Procedures (SOP) are written safety and health guidelines for laboratory work with hazardous chemicals and are required as a part of a laboratory-specific Chemical Hygiene Plan per Cal-OSHA.</w:t>
      </w:r>
    </w:p>
    <w:p w14:paraId="1AE30115" w14:textId="77777777" w:rsidR="00632FB9" w:rsidRPr="00632FB9" w:rsidRDefault="00632FB9" w:rsidP="00632FB9">
      <w:pPr>
        <w:pStyle w:val="Default"/>
        <w:ind w:left="576" w:hanging="577"/>
        <w:rPr>
          <w:rFonts w:asciiTheme="minorHAnsi" w:hAnsiTheme="minorHAnsi" w:cstheme="minorHAnsi"/>
          <w:sz w:val="22"/>
          <w:szCs w:val="22"/>
        </w:rPr>
      </w:pPr>
    </w:p>
    <w:p w14:paraId="11AD3FB3" w14:textId="77777777" w:rsidR="00632FB9" w:rsidRPr="00632FB9" w:rsidRDefault="00632FB9" w:rsidP="00632FB9">
      <w:pPr>
        <w:pStyle w:val="Default"/>
        <w:ind w:left="576" w:hanging="577"/>
        <w:rPr>
          <w:rFonts w:asciiTheme="minorHAnsi" w:hAnsiTheme="minorHAnsi" w:cstheme="minorHAnsi"/>
          <w:color w:val="auto"/>
          <w:sz w:val="22"/>
          <w:szCs w:val="22"/>
        </w:rPr>
      </w:pPr>
      <w:r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Standard Operating Procedures can be written in one or more of the following ways: </w:t>
      </w:r>
    </w:p>
    <w:p w14:paraId="3E716AED" w14:textId="77777777" w:rsidR="00632FB9" w:rsidRPr="00632FB9" w:rsidRDefault="00632FB9" w:rsidP="00632FB9">
      <w:pPr>
        <w:pStyle w:val="Default"/>
        <w:ind w:firstLine="576"/>
        <w:rPr>
          <w:rFonts w:asciiTheme="minorHAnsi" w:hAnsiTheme="minorHAnsi" w:cstheme="minorHAnsi"/>
          <w:color w:val="auto"/>
          <w:sz w:val="22"/>
          <w:szCs w:val="22"/>
        </w:rPr>
      </w:pPr>
      <w:r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1. By process (e.g. distillation, peptide synthesis, or glove box use). </w:t>
      </w:r>
    </w:p>
    <w:p w14:paraId="201FE915" w14:textId="77777777" w:rsidR="00632FB9" w:rsidRPr="00632FB9" w:rsidRDefault="00632FB9" w:rsidP="00632FB9">
      <w:pPr>
        <w:pStyle w:val="Default"/>
        <w:ind w:left="576"/>
        <w:rPr>
          <w:rFonts w:asciiTheme="minorHAnsi" w:hAnsiTheme="minorHAnsi" w:cstheme="minorHAnsi"/>
          <w:color w:val="auto"/>
          <w:sz w:val="22"/>
          <w:szCs w:val="22"/>
        </w:rPr>
      </w:pPr>
      <w:r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2. By hazardous chemical (e.g. benzene, perchloric acid, chloroform). </w:t>
      </w:r>
    </w:p>
    <w:p w14:paraId="033D7C16" w14:textId="77777777" w:rsidR="00632FB9" w:rsidRDefault="00632FB9" w:rsidP="00632FB9">
      <w:pPr>
        <w:pStyle w:val="Default"/>
        <w:ind w:left="576"/>
        <w:rPr>
          <w:rFonts w:asciiTheme="minorHAnsi" w:hAnsiTheme="minorHAnsi" w:cstheme="minorHAnsi"/>
          <w:color w:val="auto"/>
          <w:sz w:val="22"/>
          <w:szCs w:val="22"/>
        </w:rPr>
      </w:pPr>
      <w:r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3. By class of hazardous chemicals (e.g. organic solvents or peroxidizable chemicals.  SOPs for most hazard classes are already provided in the </w:t>
      </w:r>
      <w:hyperlink r:id="rId7" w:history="1">
        <w:r w:rsidRPr="00632FB9">
          <w:rPr>
            <w:rStyle w:val="Hyperlink"/>
            <w:rFonts w:asciiTheme="minorHAnsi" w:hAnsiTheme="minorHAnsi" w:cstheme="minorHAnsi"/>
            <w:sz w:val="22"/>
            <w:szCs w:val="22"/>
          </w:rPr>
          <w:t>UCSB SOP Library</w:t>
        </w:r>
      </w:hyperlink>
      <w:r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68CE06F8" w14:textId="77777777" w:rsidR="00301F4F" w:rsidRDefault="00301F4F" w:rsidP="00632FB9">
      <w:pPr>
        <w:pStyle w:val="Default"/>
        <w:ind w:left="576"/>
        <w:rPr>
          <w:rFonts w:asciiTheme="minorHAnsi" w:hAnsiTheme="minorHAnsi" w:cstheme="minorHAnsi"/>
          <w:color w:val="auto"/>
          <w:sz w:val="22"/>
          <w:szCs w:val="22"/>
        </w:rPr>
      </w:pPr>
    </w:p>
    <w:p w14:paraId="42EE5407" w14:textId="77777777" w:rsidR="00632FB9" w:rsidRDefault="00632FB9" w:rsidP="00632FB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C1A6BA8" w14:textId="77777777" w:rsidR="00632FB9" w:rsidRDefault="00632FB9" w:rsidP="00632FB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PROCESS SOP Guidance:</w:t>
      </w:r>
    </w:p>
    <w:p w14:paraId="2CA0E114" w14:textId="77777777" w:rsidR="00632FB9" w:rsidRPr="00632FB9" w:rsidRDefault="001F5457" w:rsidP="00632FB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 the Overview </w:t>
      </w:r>
      <w:r w:rsidR="00C07125">
        <w:rPr>
          <w:rFonts w:asciiTheme="minorHAnsi" w:hAnsiTheme="minorHAnsi" w:cstheme="minorHAnsi"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color w:val="auto"/>
          <w:sz w:val="22"/>
          <w:szCs w:val="22"/>
        </w:rPr>
        <w:t>ection, d</w:t>
      </w:r>
      <w:r w:rsidR="00632FB9">
        <w:rPr>
          <w:rFonts w:asciiTheme="minorHAnsi" w:hAnsiTheme="minorHAnsi" w:cstheme="minorHAnsi"/>
          <w:color w:val="auto"/>
          <w:sz w:val="22"/>
          <w:szCs w:val="22"/>
        </w:rPr>
        <w:t xml:space="preserve">escribe </w:t>
      </w:r>
      <w:r w:rsidR="00632FB9"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the process or type of process </w:t>
      </w:r>
      <w:r w:rsidR="00632FB9">
        <w:rPr>
          <w:rFonts w:asciiTheme="minorHAnsi" w:hAnsiTheme="minorHAnsi" w:cstheme="minorHAnsi"/>
          <w:color w:val="auto"/>
          <w:sz w:val="22"/>
          <w:szCs w:val="22"/>
        </w:rPr>
        <w:t>that this SOP is to cover</w:t>
      </w:r>
      <w:r w:rsidR="00667C7D">
        <w:rPr>
          <w:rFonts w:asciiTheme="minorHAnsi" w:hAnsiTheme="minorHAnsi" w:cstheme="minorHAnsi"/>
          <w:color w:val="auto"/>
          <w:sz w:val="22"/>
          <w:szCs w:val="22"/>
        </w:rPr>
        <w:t xml:space="preserve"> in terms of its associated hazards</w:t>
      </w:r>
      <w:r w:rsidR="00632FB9">
        <w:rPr>
          <w:rFonts w:asciiTheme="minorHAnsi" w:hAnsiTheme="minorHAnsi" w:cstheme="minorHAnsi"/>
          <w:color w:val="auto"/>
          <w:sz w:val="22"/>
          <w:szCs w:val="22"/>
        </w:rPr>
        <w:t>.  If specific hazardous chemicals are involved, list those and their associated hazards.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The SDS is a good source of information for this. </w:t>
      </w:r>
      <w:r w:rsidRPr="00632F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Physical hazards such as temperature extremes, pressure/vacuum, moving parts, etc. should also be described here.</w:t>
      </w:r>
      <w:r w:rsidR="00632FB9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667C7D">
        <w:rPr>
          <w:rFonts w:asciiTheme="minorHAnsi" w:hAnsiTheme="minorHAnsi" w:cstheme="minorHAnsi"/>
          <w:color w:val="auto"/>
          <w:sz w:val="22"/>
          <w:szCs w:val="22"/>
        </w:rPr>
        <w:t xml:space="preserve">This should be written such that the primary danger of the material is observable at a glance.  (For example:  This operation is run at </w:t>
      </w:r>
      <w:r w:rsidR="00667C7D" w:rsidRPr="00667C7D">
        <w:rPr>
          <w:rFonts w:asciiTheme="minorHAnsi" w:hAnsiTheme="minorHAnsi" w:cstheme="minorHAnsi"/>
          <w:b/>
          <w:color w:val="auto"/>
          <w:sz w:val="22"/>
          <w:szCs w:val="22"/>
        </w:rPr>
        <w:t>high temperature and pressure</w:t>
      </w:r>
      <w:r w:rsidR="00667C7D">
        <w:rPr>
          <w:rFonts w:asciiTheme="minorHAnsi" w:hAnsiTheme="minorHAnsi" w:cstheme="minorHAnsi"/>
          <w:color w:val="auto"/>
          <w:sz w:val="22"/>
          <w:szCs w:val="22"/>
        </w:rPr>
        <w:t>, and therefore carries a risk of explosion.)</w:t>
      </w:r>
    </w:p>
    <w:p w14:paraId="32E775F6" w14:textId="77777777" w:rsidR="00632FB9" w:rsidRDefault="00632FB9" w:rsidP="00632FB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A532F5" w14:textId="77777777" w:rsidR="001F5457" w:rsidRDefault="001F5457" w:rsidP="00632FB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HAZARDOUS CHEMICAL</w:t>
      </w:r>
      <w:r w:rsidR="00C07125">
        <w:rPr>
          <w:rFonts w:asciiTheme="minorHAnsi" w:hAnsiTheme="minorHAnsi" w:cstheme="minorHAnsi"/>
          <w:color w:val="auto"/>
          <w:sz w:val="22"/>
          <w:szCs w:val="22"/>
        </w:rPr>
        <w:t>/HAZARDOUS CHEMICAL CLASS SOP Guidance:</w:t>
      </w:r>
    </w:p>
    <w:p w14:paraId="00A0E3FC" w14:textId="77777777" w:rsidR="00C07125" w:rsidRPr="005C0B1A" w:rsidRDefault="00C07125" w:rsidP="00C07125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 the Overview section</w:t>
      </w:r>
      <w:r w:rsidR="005C0B1A">
        <w:rPr>
          <w:rFonts w:asciiTheme="minorHAnsi" w:hAnsiTheme="minorHAnsi" w:cstheme="minorHAnsi"/>
          <w:color w:val="auto"/>
          <w:sz w:val="22"/>
          <w:szCs w:val="22"/>
        </w:rPr>
        <w:t>, describe the known hazards of the chemical or class of chemicals.  This should be written such that the primary danger of the material is observable at a glance</w:t>
      </w:r>
      <w:r w:rsidR="00667C7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C0B1A">
        <w:rPr>
          <w:rFonts w:asciiTheme="minorHAnsi" w:hAnsiTheme="minorHAnsi" w:cstheme="minorHAnsi"/>
          <w:color w:val="auto"/>
          <w:sz w:val="22"/>
          <w:szCs w:val="22"/>
        </w:rPr>
        <w:t xml:space="preserve">  (For example:  </w:t>
      </w:r>
      <w:r w:rsidR="005C0B1A">
        <w:rPr>
          <w:rFonts w:asciiTheme="minorHAnsi" w:hAnsiTheme="minorHAnsi" w:cstheme="minorHAnsi"/>
          <w:i/>
          <w:color w:val="auto"/>
          <w:sz w:val="22"/>
          <w:szCs w:val="22"/>
        </w:rPr>
        <w:t>tert</w:t>
      </w:r>
      <w:r w:rsidR="005C0B1A">
        <w:rPr>
          <w:rFonts w:asciiTheme="minorHAnsi" w:hAnsiTheme="minorHAnsi" w:cstheme="minorHAnsi"/>
          <w:color w:val="auto"/>
          <w:sz w:val="22"/>
          <w:szCs w:val="22"/>
        </w:rPr>
        <w:t xml:space="preserve">-butyllithium is </w:t>
      </w:r>
      <w:r w:rsidR="005C0B1A" w:rsidRPr="005C0B1A">
        <w:rPr>
          <w:rFonts w:asciiTheme="minorHAnsi" w:hAnsiTheme="minorHAnsi" w:cstheme="minorHAnsi"/>
          <w:b/>
          <w:color w:val="auto"/>
          <w:sz w:val="22"/>
          <w:szCs w:val="22"/>
        </w:rPr>
        <w:t>extremely pyrophoric</w:t>
      </w:r>
      <w:r w:rsidR="005C0B1A">
        <w:rPr>
          <w:rFonts w:asciiTheme="minorHAnsi" w:hAnsiTheme="minorHAnsi" w:cstheme="minorHAnsi"/>
          <w:color w:val="auto"/>
          <w:sz w:val="22"/>
          <w:szCs w:val="22"/>
        </w:rPr>
        <w:t xml:space="preserve">, so all exposure to air and moisture must be avoided.)  </w:t>
      </w:r>
    </w:p>
    <w:p w14:paraId="3756DB24" w14:textId="77777777" w:rsidR="001F5457" w:rsidRPr="00632FB9" w:rsidRDefault="001F5457" w:rsidP="00632FB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21CE72" w14:textId="77777777" w:rsidR="005B1C0D" w:rsidRPr="00632FB9" w:rsidRDefault="00632FB9" w:rsidP="00632FB9">
      <w:pPr>
        <w:pStyle w:val="Default"/>
        <w:rPr>
          <w:rFonts w:asciiTheme="minorHAnsi" w:hAnsiTheme="minorHAnsi" w:cstheme="minorHAnsi"/>
          <w:color w:val="auto"/>
        </w:rPr>
      </w:pPr>
      <w:r w:rsidRPr="00DE5920">
        <w:rPr>
          <w:rFonts w:asciiTheme="minorHAnsi" w:hAnsiTheme="minorHAnsi" w:cstheme="minorHAnsi"/>
          <w:color w:val="auto"/>
        </w:rPr>
        <w:t xml:space="preserve">Cal/OSHA does not have specific guidelines or requirements for content of Standard Operating Procedures. </w:t>
      </w:r>
      <w:r>
        <w:rPr>
          <w:rFonts w:asciiTheme="minorHAnsi" w:hAnsiTheme="minorHAnsi" w:cstheme="minorHAnsi"/>
          <w:color w:val="auto"/>
        </w:rPr>
        <w:t xml:space="preserve"> </w:t>
      </w:r>
      <w:r w:rsidRPr="00DE5920">
        <w:rPr>
          <w:rFonts w:asciiTheme="minorHAnsi" w:hAnsiTheme="minorHAnsi" w:cstheme="minorHAnsi"/>
          <w:color w:val="auto"/>
        </w:rPr>
        <w:t>For Principal Investigators and laboratory supervisors desiring guidance, EH&amp;S recommends that the</w:t>
      </w:r>
      <w:r w:rsidR="005C0B1A">
        <w:rPr>
          <w:rFonts w:asciiTheme="minorHAnsi" w:hAnsiTheme="minorHAnsi" w:cstheme="minorHAnsi"/>
          <w:color w:val="auto"/>
        </w:rPr>
        <w:t xml:space="preserve"> </w:t>
      </w:r>
      <w:r w:rsidRPr="00DE5920">
        <w:rPr>
          <w:rFonts w:asciiTheme="minorHAnsi" w:hAnsiTheme="minorHAnsi" w:cstheme="minorHAnsi"/>
          <w:color w:val="auto"/>
        </w:rPr>
        <w:t>elements</w:t>
      </w:r>
      <w:r w:rsidR="005C0B1A">
        <w:rPr>
          <w:rFonts w:asciiTheme="minorHAnsi" w:hAnsiTheme="minorHAnsi" w:cstheme="minorHAnsi"/>
          <w:color w:val="auto"/>
        </w:rPr>
        <w:t xml:space="preserve"> shown by the headings below</w:t>
      </w:r>
      <w:r w:rsidRPr="00DE5920">
        <w:rPr>
          <w:rFonts w:asciiTheme="minorHAnsi" w:hAnsiTheme="minorHAnsi" w:cstheme="minorHAnsi"/>
          <w:color w:val="auto"/>
        </w:rPr>
        <w:t xml:space="preserve"> be included in Standard Operating Procedures.</w:t>
      </w:r>
      <w:r w:rsidR="00301F4F">
        <w:rPr>
          <w:rFonts w:asciiTheme="minorHAnsi" w:hAnsiTheme="minorHAnsi" w:cstheme="minorHAnsi"/>
          <w:color w:val="auto"/>
        </w:rPr>
        <w:t xml:space="preserve">  The information given should focus on practices that are in addition to those already described in the Chemical Hygiene Plan.  EH&amp;S Laboratory Safety is happy to assist in this effort.  Contact Hector Acuna &lt;</w:t>
      </w:r>
      <w:r w:rsidR="00301F4F" w:rsidRPr="00301F4F">
        <w:t xml:space="preserve"> </w:t>
      </w:r>
      <w:hyperlink r:id="rId8" w:history="1">
        <w:r w:rsidR="00301F4F" w:rsidRPr="0055069F">
          <w:rPr>
            <w:rStyle w:val="Hyperlink"/>
            <w:rFonts w:asciiTheme="minorHAnsi" w:hAnsiTheme="minorHAnsi" w:cstheme="minorHAnsi"/>
          </w:rPr>
          <w:t>hector.acuna@ucsb.edu</w:t>
        </w:r>
      </w:hyperlink>
      <w:r w:rsidR="00301F4F">
        <w:rPr>
          <w:rFonts w:asciiTheme="minorHAnsi" w:hAnsiTheme="minorHAnsi" w:cstheme="minorHAnsi"/>
          <w:color w:val="auto"/>
        </w:rPr>
        <w:t xml:space="preserve">&gt; or Alex Moretto </w:t>
      </w:r>
      <w:hyperlink r:id="rId9" w:history="1">
        <w:r w:rsidR="00301F4F" w:rsidRPr="0055069F">
          <w:rPr>
            <w:rStyle w:val="Hyperlink"/>
            <w:rFonts w:asciiTheme="minorHAnsi" w:hAnsiTheme="minorHAnsi" w:cstheme="minorHAnsi"/>
          </w:rPr>
          <w:t>amoretto@ucsb.edu</w:t>
        </w:r>
      </w:hyperlink>
      <w:r w:rsidR="00301F4F">
        <w:rPr>
          <w:rFonts w:asciiTheme="minorHAnsi" w:hAnsiTheme="minorHAnsi" w:cstheme="minorHAnsi"/>
          <w:color w:val="auto"/>
        </w:rPr>
        <w:t>.</w:t>
      </w:r>
    </w:p>
    <w:p w14:paraId="1DF9AC9B" w14:textId="77777777" w:rsidR="005B1C0D" w:rsidRDefault="005B1C0D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E5F6AD6" w14:textId="77777777" w:rsidR="00934389" w:rsidRDefault="006C29CD" w:rsidP="006C29CD">
      <w:pPr>
        <w:pStyle w:val="Heading2"/>
        <w:spacing w:before="0"/>
        <w:jc w:val="center"/>
      </w:pPr>
      <w:r>
        <w:lastRenderedPageBreak/>
        <w:t>Standard Operating Procedure</w:t>
      </w:r>
    </w:p>
    <w:p w14:paraId="7D9253E1" w14:textId="77777777" w:rsidR="006C29CD" w:rsidRPr="00526C74" w:rsidRDefault="00290938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[HAZARD]</w:t>
      </w:r>
    </w:p>
    <w:p w14:paraId="71A8CB28" w14:textId="77777777" w:rsidR="006C29CD" w:rsidRDefault="00275DF7" w:rsidP="00275DF7">
      <w:pPr>
        <w:pStyle w:val="Heading2"/>
      </w:pPr>
      <w:r>
        <w:t>Overview</w:t>
      </w:r>
    </w:p>
    <w:p w14:paraId="7386B770" w14:textId="77777777" w:rsidR="00275DF7" w:rsidRDefault="00275DF7" w:rsidP="00275DF7"/>
    <w:p w14:paraId="123831E9" w14:textId="77777777" w:rsidR="00AA16E2" w:rsidRDefault="00AA16E2" w:rsidP="00AA16E2">
      <w:pPr>
        <w:pStyle w:val="Heading2"/>
      </w:pPr>
      <w:r>
        <w:t>Special Handling and Storage Concerns</w:t>
      </w:r>
    </w:p>
    <w:p w14:paraId="10DF729E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673CC900" w14:textId="77777777" w:rsidR="00A613B6" w:rsidRDefault="00A613B6" w:rsidP="00AA16E2"/>
    <w:p w14:paraId="21F7E848" w14:textId="77777777" w:rsidR="00A613B6" w:rsidRDefault="00A613B6" w:rsidP="00AA16E2">
      <w:r>
        <w:rPr>
          <w:b/>
        </w:rPr>
        <w:t>Special Storage Requirements</w:t>
      </w:r>
    </w:p>
    <w:p w14:paraId="3E96DF7C" w14:textId="77777777" w:rsidR="00A613B6" w:rsidRDefault="00A613B6" w:rsidP="00AA16E2"/>
    <w:p w14:paraId="3D085CE8" w14:textId="77777777" w:rsidR="00A613B6" w:rsidRDefault="00A613B6" w:rsidP="00AA16E2">
      <w:r>
        <w:rPr>
          <w:b/>
        </w:rPr>
        <w:t>Engineering Controls</w:t>
      </w:r>
    </w:p>
    <w:p w14:paraId="04E1075A" w14:textId="77777777" w:rsidR="00A613B6" w:rsidRDefault="00A613B6" w:rsidP="00AA16E2"/>
    <w:p w14:paraId="47E3BDB8" w14:textId="77777777" w:rsidR="00A613B6" w:rsidRDefault="00A613B6" w:rsidP="00AA16E2">
      <w:r>
        <w:rPr>
          <w:b/>
        </w:rPr>
        <w:t>Special Handling Considerations</w:t>
      </w:r>
    </w:p>
    <w:p w14:paraId="06F21443" w14:textId="77777777" w:rsidR="00A613B6" w:rsidRDefault="00A613B6" w:rsidP="00AA16E2"/>
    <w:p w14:paraId="10000EB5" w14:textId="77777777" w:rsidR="00A613B6" w:rsidRDefault="00A613B6" w:rsidP="00AA16E2">
      <w:r>
        <w:rPr>
          <w:b/>
        </w:rPr>
        <w:t>Decontamination</w:t>
      </w:r>
    </w:p>
    <w:p w14:paraId="6D40EA5A" w14:textId="77777777" w:rsidR="00A613B6" w:rsidRDefault="00A613B6" w:rsidP="00AA16E2"/>
    <w:p w14:paraId="6E6B6C2A" w14:textId="77777777" w:rsidR="00A613B6" w:rsidRDefault="00A613B6" w:rsidP="00A613B6">
      <w:pPr>
        <w:pStyle w:val="Heading2"/>
      </w:pPr>
      <w:r>
        <w:t>Waste Management</w:t>
      </w:r>
    </w:p>
    <w:p w14:paraId="2A216FA2" w14:textId="77777777" w:rsidR="00A613B6" w:rsidRDefault="00A613B6" w:rsidP="00A613B6"/>
    <w:p w14:paraId="5FC474BD" w14:textId="77777777" w:rsidR="00A613B6" w:rsidRDefault="00A613B6" w:rsidP="00A613B6">
      <w:pPr>
        <w:pStyle w:val="Heading2"/>
      </w:pPr>
      <w:r>
        <w:t>First Aid and Emergencies</w:t>
      </w:r>
    </w:p>
    <w:p w14:paraId="0EBF5D2A" w14:textId="77777777" w:rsidR="00AB12CE" w:rsidRDefault="00AB12CE" w:rsidP="00AB12CE">
      <w:pPr>
        <w:rPr>
          <w:b/>
        </w:rPr>
      </w:pPr>
      <w:r>
        <w:rPr>
          <w:b/>
        </w:rPr>
        <w:t>Spill</w:t>
      </w:r>
    </w:p>
    <w:p w14:paraId="5E65DA50" w14:textId="77777777" w:rsidR="00AB12CE" w:rsidRPr="00AB12CE" w:rsidRDefault="00AB12CE" w:rsidP="00AB12CE"/>
    <w:p w14:paraId="047528E6" w14:textId="77777777" w:rsidR="00AB12CE" w:rsidRDefault="00AB12CE" w:rsidP="00AB12CE">
      <w:r>
        <w:rPr>
          <w:b/>
        </w:rPr>
        <w:t>Fire</w:t>
      </w:r>
    </w:p>
    <w:p w14:paraId="1DAEC05F" w14:textId="77777777" w:rsidR="00AB12CE" w:rsidRDefault="00AB12CE" w:rsidP="00AB12CE"/>
    <w:p w14:paraId="5416B48F" w14:textId="77777777" w:rsidR="00AB12CE" w:rsidRPr="00AB12CE" w:rsidRDefault="00AB12CE" w:rsidP="00AB12CE">
      <w:pPr>
        <w:rPr>
          <w:b/>
        </w:rPr>
      </w:pPr>
      <w:r>
        <w:rPr>
          <w:b/>
        </w:rPr>
        <w:t>Personnel Exposure</w:t>
      </w:r>
    </w:p>
    <w:p w14:paraId="0619A6B2" w14:textId="77777777" w:rsidR="00A613B6" w:rsidRDefault="00A613B6" w:rsidP="00A613B6"/>
    <w:p w14:paraId="211CBEDA" w14:textId="77777777" w:rsidR="008C5EA6" w:rsidRPr="00667C7D" w:rsidRDefault="008C5EA6" w:rsidP="008C5EA6">
      <w:pPr>
        <w:pStyle w:val="Heading2"/>
        <w:rPr>
          <w:color w:val="auto"/>
        </w:rPr>
      </w:pPr>
      <w:r w:rsidRPr="00667C7D">
        <w:rPr>
          <w:color w:val="auto"/>
        </w:rPr>
        <w:t>Laboratory Specific Information</w:t>
      </w:r>
    </w:p>
    <w:p w14:paraId="66D26FE9" w14:textId="77777777" w:rsidR="008C5EA6" w:rsidRPr="00667C7D" w:rsidRDefault="008C5EA6" w:rsidP="008C5EA6">
      <w:pPr>
        <w:rPr>
          <w:b/>
        </w:rPr>
      </w:pPr>
      <w:r w:rsidRPr="00667C7D">
        <w:rPr>
          <w:b/>
        </w:rPr>
        <w:t>Prior Approval</w:t>
      </w:r>
      <w:r w:rsidR="00545047" w:rsidRPr="00667C7D">
        <w:rPr>
          <w:b/>
        </w:rPr>
        <w:t xml:space="preserve"> </w:t>
      </w:r>
      <w:r w:rsidR="00A322A9" w:rsidRPr="00667C7D">
        <w:rPr>
          <w:b/>
        </w:rPr>
        <w:t>Required</w:t>
      </w:r>
    </w:p>
    <w:p w14:paraId="321C18C2" w14:textId="77777777" w:rsidR="00545047" w:rsidRPr="00667C7D" w:rsidRDefault="00000000" w:rsidP="00545047">
      <w:pPr>
        <w:ind w:left="720"/>
        <w:rPr>
          <w:b/>
        </w:rPr>
      </w:pPr>
      <w:sdt>
        <w:sdtPr>
          <w:rPr>
            <w:b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667C7D">
            <w:rPr>
              <w:rFonts w:ascii="MS Gothic" w:eastAsia="MS Gothic" w:hAnsi="MS Gothic" w:hint="eastAsia"/>
              <w:b/>
            </w:rPr>
            <w:t>☐</w:t>
          </w:r>
        </w:sdtContent>
      </w:sdt>
      <w:r w:rsidR="00545047" w:rsidRPr="00667C7D">
        <w:rPr>
          <w:b/>
        </w:rPr>
        <w:t xml:space="preserve">  NO</w:t>
      </w:r>
    </w:p>
    <w:p w14:paraId="7AEE9F84" w14:textId="77777777" w:rsidR="00545047" w:rsidRPr="00667C7D" w:rsidRDefault="00000000" w:rsidP="00545047">
      <w:pPr>
        <w:ind w:left="720"/>
        <w:rPr>
          <w:b/>
        </w:rPr>
      </w:pPr>
      <w:sdt>
        <w:sdtPr>
          <w:rPr>
            <w:b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667C7D">
            <w:rPr>
              <w:rFonts w:ascii="MS Gothic" w:eastAsia="MS Gothic" w:hAnsi="MS Gothic" w:hint="eastAsia"/>
              <w:b/>
            </w:rPr>
            <w:t>☐</w:t>
          </w:r>
        </w:sdtContent>
      </w:sdt>
      <w:r w:rsidR="00545047" w:rsidRPr="00667C7D">
        <w:rPr>
          <w:b/>
        </w:rPr>
        <w:t xml:space="preserve">  YES (describe):</w:t>
      </w:r>
    </w:p>
    <w:p w14:paraId="2F6A9160" w14:textId="77777777" w:rsidR="008C5EA6" w:rsidRPr="00667C7D" w:rsidRDefault="008C5EA6" w:rsidP="008C5EA6"/>
    <w:p w14:paraId="2657E49F" w14:textId="77777777" w:rsidR="008C5EA6" w:rsidRPr="00667C7D" w:rsidRDefault="008C5EA6" w:rsidP="008C5EA6">
      <w:pPr>
        <w:rPr>
          <w:b/>
        </w:rPr>
      </w:pPr>
      <w:r w:rsidRPr="00667C7D">
        <w:rPr>
          <w:b/>
        </w:rPr>
        <w:lastRenderedPageBreak/>
        <w:t>Designated Area</w:t>
      </w:r>
    </w:p>
    <w:p w14:paraId="14EA6BF3" w14:textId="77777777" w:rsidR="00A039F9" w:rsidRPr="00667C7D" w:rsidRDefault="00000000" w:rsidP="00A039F9">
      <w:pPr>
        <w:ind w:left="720"/>
        <w:rPr>
          <w:b/>
        </w:rPr>
      </w:pPr>
      <w:sdt>
        <w:sdtPr>
          <w:rPr>
            <w:b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667C7D">
            <w:rPr>
              <w:rFonts w:ascii="MS Gothic" w:eastAsia="MS Gothic" w:hAnsi="MS Gothic" w:hint="eastAsia"/>
              <w:b/>
            </w:rPr>
            <w:t>☐</w:t>
          </w:r>
        </w:sdtContent>
      </w:sdt>
      <w:r w:rsidR="00545047" w:rsidRPr="00667C7D">
        <w:rPr>
          <w:b/>
        </w:rPr>
        <w:t xml:space="preserve">  </w:t>
      </w:r>
      <w:r w:rsidR="00A039F9" w:rsidRPr="00667C7D">
        <w:rPr>
          <w:b/>
        </w:rPr>
        <w:t>Entire Laboratory Area</w:t>
      </w:r>
    </w:p>
    <w:p w14:paraId="003C07FF" w14:textId="77777777" w:rsidR="00A039F9" w:rsidRPr="00667C7D" w:rsidRDefault="00000000" w:rsidP="00A039F9">
      <w:pPr>
        <w:ind w:left="720"/>
        <w:rPr>
          <w:b/>
        </w:rPr>
      </w:pPr>
      <w:sdt>
        <w:sdtPr>
          <w:rPr>
            <w:b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667C7D">
            <w:rPr>
              <w:rFonts w:ascii="MS Gothic" w:eastAsia="MS Gothic" w:hAnsi="MS Gothic" w:hint="eastAsia"/>
              <w:b/>
            </w:rPr>
            <w:t>☐</w:t>
          </w:r>
        </w:sdtContent>
      </w:sdt>
      <w:r w:rsidR="00545047" w:rsidRPr="00667C7D">
        <w:rPr>
          <w:b/>
        </w:rPr>
        <w:t xml:space="preserve">  </w:t>
      </w:r>
      <w:r w:rsidR="00A039F9" w:rsidRPr="00667C7D">
        <w:rPr>
          <w:b/>
        </w:rPr>
        <w:t>Other</w:t>
      </w:r>
      <w:r w:rsidR="00545047" w:rsidRPr="00667C7D">
        <w:rPr>
          <w:b/>
        </w:rPr>
        <w:t xml:space="preserve"> (describe):</w:t>
      </w:r>
    </w:p>
    <w:p w14:paraId="1A0B7664" w14:textId="77777777" w:rsidR="008C5EA6" w:rsidRPr="00667C7D" w:rsidRDefault="008C5EA6" w:rsidP="008C5EA6"/>
    <w:p w14:paraId="44C98903" w14:textId="77777777" w:rsidR="008C5EA6" w:rsidRPr="00667C7D" w:rsidRDefault="00F142DA" w:rsidP="008C5EA6">
      <w:pPr>
        <w:rPr>
          <w:b/>
        </w:rPr>
      </w:pPr>
      <w:r w:rsidRPr="00667C7D">
        <w:rPr>
          <w:b/>
        </w:rPr>
        <w:t>Experimental Conditions of Use</w:t>
      </w:r>
    </w:p>
    <w:p w14:paraId="029A0028" w14:textId="77777777" w:rsidR="00F142DA" w:rsidRPr="00667C7D" w:rsidRDefault="00F142DA" w:rsidP="00F142DA">
      <w:pPr>
        <w:ind w:left="720"/>
        <w:rPr>
          <w:b/>
        </w:rPr>
      </w:pPr>
      <w:r w:rsidRPr="00667C7D">
        <w:rPr>
          <w:b/>
        </w:rPr>
        <w:t>Temperature Range</w:t>
      </w:r>
      <w:r w:rsidR="00545047" w:rsidRPr="00667C7D">
        <w:rPr>
          <w:b/>
        </w:rPr>
        <w:t>:</w:t>
      </w:r>
    </w:p>
    <w:p w14:paraId="6904AFD5" w14:textId="77777777" w:rsidR="00545047" w:rsidRPr="00667C7D" w:rsidRDefault="00545047" w:rsidP="00F142DA">
      <w:pPr>
        <w:ind w:left="720"/>
        <w:rPr>
          <w:b/>
        </w:rPr>
      </w:pPr>
    </w:p>
    <w:p w14:paraId="73DA6C26" w14:textId="77777777" w:rsidR="00F142DA" w:rsidRPr="00667C7D" w:rsidRDefault="00F142DA" w:rsidP="00F142DA">
      <w:pPr>
        <w:ind w:left="720"/>
        <w:rPr>
          <w:b/>
        </w:rPr>
      </w:pPr>
      <w:r w:rsidRPr="00667C7D">
        <w:rPr>
          <w:b/>
        </w:rPr>
        <w:t>Pressure Range</w:t>
      </w:r>
      <w:r w:rsidR="00545047" w:rsidRPr="00667C7D">
        <w:rPr>
          <w:b/>
        </w:rPr>
        <w:t>:</w:t>
      </w:r>
    </w:p>
    <w:p w14:paraId="1D73E29F" w14:textId="77777777" w:rsidR="00545047" w:rsidRPr="00667C7D" w:rsidRDefault="00545047" w:rsidP="00F142DA">
      <w:pPr>
        <w:ind w:left="720"/>
        <w:rPr>
          <w:b/>
        </w:rPr>
      </w:pPr>
    </w:p>
    <w:p w14:paraId="01C9A823" w14:textId="77777777" w:rsidR="00F142DA" w:rsidRPr="00667C7D" w:rsidRDefault="00F142DA" w:rsidP="00F142DA">
      <w:pPr>
        <w:ind w:left="720"/>
        <w:rPr>
          <w:b/>
        </w:rPr>
      </w:pPr>
      <w:r w:rsidRPr="00667C7D">
        <w:rPr>
          <w:b/>
        </w:rPr>
        <w:t>Scale Range</w:t>
      </w:r>
      <w:r w:rsidR="00545047" w:rsidRPr="00667C7D">
        <w:rPr>
          <w:b/>
        </w:rPr>
        <w:t>:</w:t>
      </w:r>
    </w:p>
    <w:p w14:paraId="3043E6EF" w14:textId="77777777" w:rsidR="00545047" w:rsidRPr="00667C7D" w:rsidRDefault="00545047" w:rsidP="00F142DA">
      <w:pPr>
        <w:ind w:left="720"/>
        <w:rPr>
          <w:b/>
        </w:rPr>
      </w:pPr>
    </w:p>
    <w:p w14:paraId="37FF3CB6" w14:textId="77777777" w:rsidR="00F142DA" w:rsidRPr="00667C7D" w:rsidRDefault="00F142DA" w:rsidP="00F142DA">
      <w:pPr>
        <w:ind w:left="720"/>
        <w:rPr>
          <w:b/>
        </w:rPr>
      </w:pPr>
      <w:r w:rsidRPr="00667C7D">
        <w:rPr>
          <w:b/>
        </w:rPr>
        <w:t>Other Relevant Details</w:t>
      </w:r>
      <w:r w:rsidR="00545047" w:rsidRPr="00667C7D">
        <w:rPr>
          <w:b/>
        </w:rPr>
        <w:t>:</w:t>
      </w:r>
    </w:p>
    <w:sectPr w:rsidR="00F142DA" w:rsidRPr="00667C7D" w:rsidSect="005B1C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3330" w14:textId="77777777" w:rsidR="00743775" w:rsidRDefault="00743775" w:rsidP="006C29CD">
      <w:pPr>
        <w:spacing w:after="0" w:line="240" w:lineRule="auto"/>
      </w:pPr>
      <w:r>
        <w:separator/>
      </w:r>
    </w:p>
  </w:endnote>
  <w:endnote w:type="continuationSeparator" w:id="0">
    <w:p w14:paraId="048CC3CF" w14:textId="77777777" w:rsidR="00743775" w:rsidRDefault="00743775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A9B3" w14:textId="77777777" w:rsidR="00743775" w:rsidRDefault="00743775" w:rsidP="006C29CD">
      <w:pPr>
        <w:spacing w:after="0" w:line="240" w:lineRule="auto"/>
      </w:pPr>
      <w:r>
        <w:separator/>
      </w:r>
    </w:p>
  </w:footnote>
  <w:footnote w:type="continuationSeparator" w:id="0">
    <w:p w14:paraId="27B7BB9E" w14:textId="77777777" w:rsidR="00743775" w:rsidRDefault="00743775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E2ED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0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D2FAB"/>
    <w:rsid w:val="001F5457"/>
    <w:rsid w:val="00263B8E"/>
    <w:rsid w:val="00275DF7"/>
    <w:rsid w:val="00290938"/>
    <w:rsid w:val="00301F4F"/>
    <w:rsid w:val="004761A6"/>
    <w:rsid w:val="00526C74"/>
    <w:rsid w:val="00545047"/>
    <w:rsid w:val="00545DCD"/>
    <w:rsid w:val="005B1C0D"/>
    <w:rsid w:val="005C0B1A"/>
    <w:rsid w:val="00632FB9"/>
    <w:rsid w:val="00667C7D"/>
    <w:rsid w:val="006C29CD"/>
    <w:rsid w:val="00720862"/>
    <w:rsid w:val="00743775"/>
    <w:rsid w:val="00776E70"/>
    <w:rsid w:val="0087249E"/>
    <w:rsid w:val="008C5EA6"/>
    <w:rsid w:val="00934389"/>
    <w:rsid w:val="00A039F9"/>
    <w:rsid w:val="00A3200F"/>
    <w:rsid w:val="00A322A9"/>
    <w:rsid w:val="00A613B6"/>
    <w:rsid w:val="00AA16E2"/>
    <w:rsid w:val="00AB12CE"/>
    <w:rsid w:val="00B15690"/>
    <w:rsid w:val="00C07125"/>
    <w:rsid w:val="00C62568"/>
    <w:rsid w:val="00CE3517"/>
    <w:rsid w:val="00D67A1E"/>
    <w:rsid w:val="00F142D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7BA2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paragraph" w:customStyle="1" w:styleId="Default">
    <w:name w:val="Default"/>
    <w:rsid w:val="00632FB9"/>
    <w:pPr>
      <w:autoSpaceDE w:val="0"/>
      <w:autoSpaceDN w:val="0"/>
      <w:adjustRightInd w:val="0"/>
      <w:spacing w:after="0" w:line="240" w:lineRule="auto"/>
    </w:pPr>
    <w:rPr>
      <w:rFonts w:ascii="Centaur" w:hAnsi="Centaur" w:cs="Centau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2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tor.acuna@ucsb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hs.ucsb.edu/labsafety-chp/so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oretto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2026-04-15T22:52:00Z</dcterms:created>
  <dcterms:modified xsi:type="dcterms:W3CDTF">2026-04-15T22:52:00Z</dcterms:modified>
</cp:coreProperties>
</file>