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D0F7" w14:textId="77777777" w:rsidR="00934389" w:rsidRDefault="006C29CD" w:rsidP="006C29CD">
      <w:pPr>
        <w:pStyle w:val="Heading2"/>
        <w:spacing w:before="0"/>
        <w:jc w:val="center"/>
      </w:pPr>
      <w:r>
        <w:t>Standard Operating Procedure</w:t>
      </w:r>
    </w:p>
    <w:p w14:paraId="75EE71C3" w14:textId="77777777" w:rsidR="006C29CD" w:rsidRPr="004D3266" w:rsidRDefault="004D3266" w:rsidP="006C29CD">
      <w:pPr>
        <w:pStyle w:val="Heading1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D3266">
        <w:rPr>
          <w:rFonts w:asciiTheme="minorHAnsi" w:hAnsiTheme="minorHAnsi" w:cstheme="minorHAnsi"/>
          <w:b/>
          <w:bCs/>
          <w:sz w:val="28"/>
          <w:szCs w:val="28"/>
        </w:rPr>
        <w:t>OXYGEN GAS SENSOR ALARMS</w:t>
      </w:r>
    </w:p>
    <w:p w14:paraId="578F4478" w14:textId="77777777" w:rsidR="006C29CD" w:rsidRDefault="00275DF7" w:rsidP="00275DF7">
      <w:pPr>
        <w:pStyle w:val="Heading2"/>
      </w:pPr>
      <w:r>
        <w:t>Overview</w:t>
      </w:r>
    </w:p>
    <w:p w14:paraId="49ECC22B" w14:textId="048F3E9F" w:rsidR="006C2B8F" w:rsidRPr="0091640D" w:rsidRDefault="004D3266" w:rsidP="009164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266">
        <w:rPr>
          <w:rFonts w:cstheme="minorHAnsi"/>
          <w:sz w:val="24"/>
          <w:szCs w:val="24"/>
        </w:rPr>
        <w:t xml:space="preserve">Normal </w:t>
      </w:r>
      <w:r w:rsidR="0091640D">
        <w:rPr>
          <w:rFonts w:cstheme="minorHAnsi"/>
          <w:sz w:val="24"/>
          <w:szCs w:val="24"/>
        </w:rPr>
        <w:t xml:space="preserve">atmospheric </w:t>
      </w:r>
      <w:r w:rsidRPr="004D3266">
        <w:rPr>
          <w:rFonts w:cstheme="minorHAnsi"/>
          <w:sz w:val="24"/>
          <w:szCs w:val="24"/>
        </w:rPr>
        <w:t xml:space="preserve">oxygen levels </w:t>
      </w:r>
      <w:r w:rsidR="0091640D">
        <w:rPr>
          <w:rFonts w:cstheme="minorHAnsi"/>
          <w:sz w:val="24"/>
          <w:szCs w:val="24"/>
        </w:rPr>
        <w:t xml:space="preserve">are </w:t>
      </w:r>
      <w:r w:rsidRPr="004D3266">
        <w:rPr>
          <w:rFonts w:cstheme="minorHAnsi"/>
          <w:sz w:val="24"/>
          <w:szCs w:val="24"/>
        </w:rPr>
        <w:t>20</w:t>
      </w:r>
      <w:r w:rsidR="0091640D">
        <w:rPr>
          <w:rFonts w:cstheme="minorHAnsi"/>
          <w:sz w:val="24"/>
          <w:szCs w:val="24"/>
        </w:rPr>
        <w:t>.9</w:t>
      </w:r>
      <w:r w:rsidRPr="004D3266">
        <w:rPr>
          <w:rFonts w:cstheme="minorHAnsi"/>
          <w:sz w:val="24"/>
          <w:szCs w:val="24"/>
        </w:rPr>
        <w:t>%. Serious health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effects, fires or death by asphyxiation can occur quickly when oxygen levels are unsafe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(below 1</w:t>
      </w:r>
      <w:r w:rsidR="0091640D">
        <w:rPr>
          <w:rFonts w:cstheme="minorHAnsi"/>
          <w:sz w:val="24"/>
          <w:szCs w:val="24"/>
        </w:rPr>
        <w:t>9.5</w:t>
      </w:r>
      <w:r w:rsidRPr="004D3266">
        <w:rPr>
          <w:rFonts w:cstheme="minorHAnsi"/>
          <w:sz w:val="24"/>
          <w:szCs w:val="24"/>
        </w:rPr>
        <w:t>% or above 2</w:t>
      </w:r>
      <w:r w:rsidR="0091640D">
        <w:rPr>
          <w:rFonts w:cstheme="minorHAnsi"/>
          <w:sz w:val="24"/>
          <w:szCs w:val="24"/>
        </w:rPr>
        <w:t>3</w:t>
      </w:r>
      <w:r w:rsidRPr="004D3266">
        <w:rPr>
          <w:rFonts w:cstheme="minorHAnsi"/>
          <w:sz w:val="24"/>
          <w:szCs w:val="24"/>
        </w:rPr>
        <w:t>%). Liquefied cryogens and inert gases can displace oxygen and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create low oxygen levels in confined spaces or poorly ventilated areas. Sources of liquid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cryogens and inert gases including MRI or NMR magnets, cylinders of carbon dioxide,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helium, argon and nitrogen, anaerobic incubators, -80</w:t>
      </w:r>
      <w:r w:rsidRPr="004D3266">
        <w:rPr>
          <w:rFonts w:cstheme="minorHAnsi"/>
          <w:sz w:val="16"/>
          <w:szCs w:val="16"/>
        </w:rPr>
        <w:t>o</w:t>
      </w:r>
      <w:r w:rsidRPr="004D3266">
        <w:rPr>
          <w:rFonts w:cstheme="minorHAnsi"/>
          <w:sz w:val="24"/>
          <w:szCs w:val="24"/>
        </w:rPr>
        <w:t>C freezers, and analytical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instruments. Any room or space containing inert gas or other sources of oxygen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depletion should be evaluated by EH&amp;S for appropriate engineering controls to safeguard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personnel and those entering these spaces. These guidelines address installation criteria,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maintenance and response to oxygen gas sensor alarms.</w:t>
      </w:r>
      <w:r w:rsidR="0091640D">
        <w:rPr>
          <w:rFonts w:cstheme="minorHAnsi"/>
          <w:sz w:val="24"/>
          <w:szCs w:val="24"/>
        </w:rPr>
        <w:br/>
      </w:r>
    </w:p>
    <w:p w14:paraId="1AE1DA4B" w14:textId="77777777" w:rsidR="00AA16E2" w:rsidRDefault="00AA16E2" w:rsidP="00AA16E2">
      <w:pPr>
        <w:pStyle w:val="Heading2"/>
      </w:pPr>
      <w:r>
        <w:t xml:space="preserve">Special Handling </w:t>
      </w:r>
    </w:p>
    <w:p w14:paraId="65802D96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D3266">
        <w:rPr>
          <w:rFonts w:ascii="Times New Roman" w:hAnsi="Times New Roman" w:cs="Times New Roman"/>
          <w:b/>
          <w:sz w:val="24"/>
          <w:szCs w:val="24"/>
          <w:u w:val="single"/>
        </w:rPr>
        <w:t>Identification of Sites for Oxygen Gas sensors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0161B221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Cylinder, tank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failures, magnet quenches or sudden releases from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pressure relief valves can overwhelm standard ventilation systems. In most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research environments, gas volumes are limited and potentially asphyxiating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gases quickly dissipate.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BFB5F47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Air exchange rates in many labs are relatively high (6-15 ACH) further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minimizing the risk of low oxygen levels. Cryogen tanks and compressed gas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systems ar</w:t>
      </w:r>
      <w:r>
        <w:rPr>
          <w:rFonts w:ascii="TimesNewRomanPSMT" w:hAnsi="TimesNewRomanPSMT" w:cs="TimesNewRomanPSMT"/>
          <w:sz w:val="24"/>
          <w:szCs w:val="24"/>
        </w:rPr>
        <w:t>e designed as “fail safe,” venting slowly rather than rupturing. All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these features reduce the need for detection equipment.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582DE9E" w14:textId="77777777" w:rsidR="004D3266" w:rsidRPr="00B71904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Oxygen monitors should be placed in areas that are poorly ventilated or where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confined spaces allow the build-up of asphyxiating gases to reach dangerous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levels. </w:t>
      </w:r>
      <w:r>
        <w:rPr>
          <w:rFonts w:ascii="TimesNewRomanPSMT" w:hAnsi="TimesNewRomanPSMT" w:cs="TimesNewRomanPSMT"/>
          <w:sz w:val="24"/>
          <w:szCs w:val="24"/>
        </w:rPr>
        <w:t>The entry to the area should be posted for “oxygen deficiency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potential.”</w:t>
      </w:r>
      <w:r>
        <w:rPr>
          <w:rFonts w:ascii="TimesNewRomanPSMT" w:hAnsi="TimesNewRomanPSMT" w:cs="TimesNewRomanPSMT"/>
          <w:sz w:val="24"/>
          <w:szCs w:val="24"/>
        </w:rPr>
        <w:br/>
      </w:r>
    </w:p>
    <w:p w14:paraId="58A31EBD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Oxygen monitors must be equipped with local alarms that can be heard and/or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observed both inside and outside the room. It is recommended that oxygen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alarms be connected to monitoring stations or command centers where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automated ventilation controls can be activated to restore safe atmospheric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conditions.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4DF17DC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The installation, testing and maintenance costs for oxygen monitors and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associated engineering controls must be the responsibility of the department or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responsibility center using cryogens or asphyxiant gases.</w:t>
      </w:r>
    </w:p>
    <w:p w14:paraId="7DA310F6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E967D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0339E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D3266">
        <w:rPr>
          <w:rFonts w:ascii="Times New Roman" w:hAnsi="Times New Roman" w:cs="Times New Roman"/>
          <w:b/>
          <w:bCs/>
          <w:sz w:val="24"/>
          <w:szCs w:val="24"/>
          <w:u w:val="single"/>
        </w:rPr>
        <w:t>Maintenance/Calibration: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6791822" w14:textId="6531BE44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All oxygen monitors should be calibrated and tested </w:t>
      </w:r>
      <w:r w:rsidR="0091640D">
        <w:rPr>
          <w:rFonts w:ascii="Times New Roman" w:hAnsi="Times New Roman" w:cs="Times New Roman"/>
          <w:sz w:val="24"/>
          <w:szCs w:val="24"/>
        </w:rPr>
        <w:t xml:space="preserve">per the </w:t>
      </w:r>
      <w:proofErr w:type="gramStart"/>
      <w:r w:rsidR="0091640D">
        <w:rPr>
          <w:rFonts w:ascii="Times New Roman" w:hAnsi="Times New Roman" w:cs="Times New Roman"/>
          <w:sz w:val="24"/>
          <w:szCs w:val="24"/>
        </w:rPr>
        <w:t>manufacturers</w:t>
      </w:r>
      <w:proofErr w:type="gramEnd"/>
      <w:r w:rsidR="0091640D">
        <w:rPr>
          <w:rFonts w:ascii="Times New Roman" w:hAnsi="Times New Roman" w:cs="Times New Roman"/>
          <w:sz w:val="24"/>
          <w:szCs w:val="24"/>
        </w:rPr>
        <w:t xml:space="preserve"> recommendations.</w:t>
      </w:r>
      <w:r>
        <w:rPr>
          <w:rFonts w:ascii="Times New Roman" w:hAnsi="Times New Roman" w:cs="Times New Roman"/>
          <w:sz w:val="24"/>
          <w:szCs w:val="24"/>
        </w:rPr>
        <w:t xml:space="preserve"> Required maintenance will vary by manufacturer and may involve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electronic checks, challenge tests using known gas concentrations, or full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instrument </w:t>
      </w:r>
      <w:r>
        <w:rPr>
          <w:rFonts w:ascii="Times New Roman" w:hAnsi="Times New Roman" w:cs="Times New Roman"/>
          <w:sz w:val="24"/>
          <w:szCs w:val="24"/>
        </w:rPr>
        <w:lastRenderedPageBreak/>
        <w:t>calibration.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E9F7AC2" w14:textId="498264F5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Device owners must make arrangements with </w:t>
      </w:r>
      <w:r w:rsidR="0091640D">
        <w:rPr>
          <w:rFonts w:ascii="Times New Roman" w:hAnsi="Times New Roman" w:cs="Times New Roman"/>
          <w:sz w:val="24"/>
          <w:szCs w:val="24"/>
        </w:rPr>
        <w:t xml:space="preserve">qualified </w:t>
      </w:r>
      <w:r>
        <w:rPr>
          <w:rFonts w:ascii="Times New Roman" w:hAnsi="Times New Roman" w:cs="Times New Roman"/>
          <w:sz w:val="24"/>
          <w:szCs w:val="24"/>
        </w:rPr>
        <w:t>personnel such as a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departmental technician, a </w:t>
      </w:r>
      <w:r w:rsidR="0091640D">
        <w:rPr>
          <w:rFonts w:ascii="Times New Roman" w:hAnsi="Times New Roman" w:cs="Times New Roman"/>
          <w:sz w:val="24"/>
          <w:szCs w:val="24"/>
        </w:rPr>
        <w:t xml:space="preserve">documented </w:t>
      </w:r>
      <w:r>
        <w:rPr>
          <w:rFonts w:ascii="Times New Roman" w:hAnsi="Times New Roman" w:cs="Times New Roman"/>
          <w:sz w:val="24"/>
          <w:szCs w:val="24"/>
        </w:rPr>
        <w:t>trained research staff member, or with third party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technicians, consultants or manufacturer representatives to maintain oxygen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monitors per specifications.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7355D55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Oxygen monitors should be replaced every 2 years, unless specified otherwise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the manufacturer. Oxygen monitors or replacement sensors should not be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purchased in advance, as they deteriorate in storage.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54A85A1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Challenge tests should always be performed when new monitors are installed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after sensor replacement to assure proper response.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6F56627" w14:textId="0FAC852A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All sensor changes and meter calibrations must be documented by the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individual servicing the device, and the responsibility center should maintain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service logs and test results for each instrument.</w:t>
      </w:r>
      <w:r w:rsidR="0091640D">
        <w:rPr>
          <w:rFonts w:ascii="Times New Roman" w:hAnsi="Times New Roman" w:cs="Times New Roman"/>
          <w:sz w:val="24"/>
          <w:szCs w:val="24"/>
        </w:rPr>
        <w:t xml:space="preserve"> Calibration dates and due dates should be posted on or near the sensor. </w:t>
      </w:r>
      <w:r w:rsidR="00B71904">
        <w:rPr>
          <w:rFonts w:ascii="Times New Roman" w:hAnsi="Times New Roman" w:cs="Times New Roman"/>
          <w:sz w:val="24"/>
          <w:szCs w:val="24"/>
        </w:rPr>
        <w:br/>
      </w:r>
    </w:p>
    <w:p w14:paraId="2F5CB8E4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D3266">
        <w:rPr>
          <w:rFonts w:ascii="Times New Roman" w:hAnsi="Times New Roman" w:cs="Times New Roman"/>
          <w:b/>
          <w:bCs/>
          <w:sz w:val="24"/>
          <w:szCs w:val="24"/>
          <w:u w:val="single"/>
        </w:rPr>
        <w:t>Alarm Response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132DCAB0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For identifiable oxygen alarm causes, such as a magnet quench or a leak of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carbon dioxide gas, the individual must stop work, control the leak source if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safe and possible, and leave the room. The oxygen alarm should return to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normal in minutes.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EC57CD4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If the alarm continues, contact 911. Indicate the type of sensor and any potential or known leak sources.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952C860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If a faulty sensor is suspected, user departments must have the room tested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oxygen sensor replaced or checked by service personnel as soon as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possible. Use of potential asphyxiant gases or cryogens should be avoided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until the sensor is replaced.</w:t>
      </w:r>
      <w:r w:rsidR="00B71904">
        <w:rPr>
          <w:rFonts w:ascii="Times New Roman" w:hAnsi="Times New Roman" w:cs="Times New Roman"/>
          <w:sz w:val="24"/>
          <w:szCs w:val="24"/>
        </w:rPr>
        <w:br/>
      </w:r>
    </w:p>
    <w:p w14:paraId="57DDF246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71904">
        <w:rPr>
          <w:rFonts w:ascii="Times New Roman" w:hAnsi="Times New Roman" w:cs="Times New Roman"/>
          <w:b/>
          <w:bCs/>
          <w:sz w:val="24"/>
          <w:szCs w:val="24"/>
          <w:u w:val="single"/>
        </w:rPr>
        <w:t>Emergency Response</w:t>
      </w:r>
    </w:p>
    <w:p w14:paraId="78A45ABE" w14:textId="7FFFC50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Oxygen monitors </w:t>
      </w:r>
      <w:r w:rsidR="0091640D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go into alarm mode at readings below 19</w:t>
      </w:r>
      <w:r w:rsidR="0091640D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9B2E79" w:rsidRPr="009B2E79">
        <w:rPr>
          <w:rFonts w:ascii="Times New Roman" w:hAnsi="Times New Roman" w:cs="Times New Roman"/>
          <w:b/>
          <w:bCs/>
          <w:color w:val="FF0000"/>
          <w:sz w:val="24"/>
          <w:szCs w:val="24"/>
        </w:rPr>
        <w:t>Spaces with oxygen level below 19.5 % or above 23% must not be entered.</w:t>
      </w:r>
      <w:r w:rsidR="009B2E79" w:rsidRPr="009B2E7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All alarm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activations must be investigated. Humans will not detect ill effects for short duration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exposures until oxygen levels reach 14-16 %, but caution is required. If an oxygen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meter detects levels at or below 14%, an extreme emergency condition exists. If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people are unconscious or the condition cannot be resolved immediately, call</w:t>
      </w:r>
      <w:r w:rsidR="00B71904">
        <w:rPr>
          <w:rFonts w:ascii="Times New Roman" w:hAnsi="Times New Roman" w:cs="Times New Roman"/>
          <w:sz w:val="24"/>
          <w:szCs w:val="24"/>
        </w:rPr>
        <w:t xml:space="preserve"> Fire 911</w:t>
      </w:r>
    </w:p>
    <w:p w14:paraId="543A19C4" w14:textId="77777777" w:rsidR="004D3266" w:rsidRDefault="00B71904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D3266">
        <w:rPr>
          <w:rFonts w:ascii="Times New Roman" w:hAnsi="Times New Roman" w:cs="Times New Roman"/>
          <w:sz w:val="24"/>
          <w:szCs w:val="24"/>
        </w:rPr>
        <w:t>The following response actions should be followed by each group.</w:t>
      </w:r>
    </w:p>
    <w:p w14:paraId="53FB6006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Laboratory Personnel Response to Oxygen Alarm:</w:t>
      </w:r>
    </w:p>
    <w:p w14:paraId="6D9FAEA1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 Evacuate the room immediately and close door.</w:t>
      </w:r>
    </w:p>
    <w:p w14:paraId="21FB3846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 Do not enter the room while the alarm is sounding.</w:t>
      </w:r>
    </w:p>
    <w:p w14:paraId="3DAA8A8E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 Immediately inform others in potential danger and notify your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supervisor.</w:t>
      </w:r>
    </w:p>
    <w:p w14:paraId="52923B1B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 Contact </w:t>
      </w:r>
      <w:r w:rsidR="00B71904">
        <w:rPr>
          <w:rFonts w:ascii="Times New Roman" w:hAnsi="Times New Roman" w:cs="Times New Roman"/>
          <w:sz w:val="24"/>
          <w:szCs w:val="24"/>
        </w:rPr>
        <w:t>Emergency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904">
        <w:rPr>
          <w:rFonts w:ascii="Times New Roman" w:hAnsi="Times New Roman" w:cs="Times New Roman"/>
          <w:sz w:val="24"/>
          <w:szCs w:val="24"/>
        </w:rPr>
        <w:t>911</w:t>
      </w:r>
    </w:p>
    <w:p w14:paraId="4EF26CA0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 Wait for the emergency responders at the building entrance and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 them of situation.</w:t>
      </w:r>
    </w:p>
    <w:p w14:paraId="453E0C98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4.1.6 If a faulty oxygen sensor is suspected after the emergency has been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abated, relocate</w:t>
      </w:r>
      <w:r w:rsidR="00B71904">
        <w:rPr>
          <w:rFonts w:ascii="Times New Roman" w:hAnsi="Times New Roman" w:cs="Times New Roman"/>
          <w:sz w:val="24"/>
          <w:szCs w:val="24"/>
        </w:rPr>
        <w:t xml:space="preserve">    </w:t>
      </w:r>
      <w:r w:rsidR="00B71904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>cryogenic processes to another laboratory where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oxygen deficiency monitoring is available until the defective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sensor is replaced.</w:t>
      </w:r>
      <w:r w:rsidR="00B71904">
        <w:rPr>
          <w:rFonts w:ascii="Times New Roman" w:hAnsi="Times New Roman" w:cs="Times New Roman"/>
          <w:sz w:val="24"/>
          <w:szCs w:val="24"/>
        </w:rPr>
        <w:br/>
      </w:r>
    </w:p>
    <w:p w14:paraId="7875EE38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Public Safety Response to an Oxygen Alarm:</w:t>
      </w:r>
      <w:r w:rsidR="00B71904">
        <w:rPr>
          <w:rFonts w:ascii="Times New Roman" w:hAnsi="Times New Roman" w:cs="Times New Roman"/>
          <w:sz w:val="24"/>
          <w:szCs w:val="24"/>
        </w:rPr>
        <w:br/>
      </w:r>
    </w:p>
    <w:p w14:paraId="5F40D3BA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>
        <w:rPr>
          <w:rFonts w:ascii="Times New Roman" w:hAnsi="Times New Roman" w:cs="Times New Roman"/>
          <w:b/>
          <w:bCs/>
          <w:sz w:val="24"/>
          <w:szCs w:val="24"/>
        </w:rPr>
        <w:t>Do not enter room</w:t>
      </w:r>
    </w:p>
    <w:p w14:paraId="55076A4D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 Ascertain if anyone is inside the room.</w:t>
      </w:r>
      <w:r w:rsidR="00B71904">
        <w:rPr>
          <w:rFonts w:ascii="Times New Roman" w:hAnsi="Times New Roman" w:cs="Times New Roman"/>
          <w:sz w:val="24"/>
          <w:szCs w:val="24"/>
        </w:rPr>
        <w:br/>
      </w:r>
    </w:p>
    <w:p w14:paraId="1885DCC0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4.2.2.1 If an unconscious person is present, immediately </w:t>
      </w:r>
      <w:r w:rsidR="00B71904">
        <w:rPr>
          <w:rFonts w:ascii="Times New Roman" w:hAnsi="Times New Roman" w:cs="Times New Roman"/>
          <w:sz w:val="24"/>
          <w:szCs w:val="24"/>
        </w:rPr>
        <w:t xml:space="preserve">contact 911. </w:t>
      </w:r>
      <w:r>
        <w:rPr>
          <w:rFonts w:ascii="Times New Roman" w:hAnsi="Times New Roman" w:cs="Times New Roman"/>
          <w:sz w:val="24"/>
          <w:szCs w:val="24"/>
        </w:rPr>
        <w:t>Do not enter room. No one</w:t>
      </w:r>
    </w:p>
    <w:p w14:paraId="62725DE2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attempt a rescue without a self-contained breathing apparatus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(SCBA). </w:t>
      </w:r>
      <w:r w:rsidR="00B71904">
        <w:rPr>
          <w:rFonts w:ascii="Times New Roman" w:hAnsi="Times New Roman" w:cs="Times New Roman"/>
          <w:sz w:val="24"/>
          <w:szCs w:val="24"/>
        </w:rPr>
        <w:br/>
      </w:r>
    </w:p>
    <w:p w14:paraId="5888806A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Environmental Health and Safety Response to Oxygen Alarm:</w:t>
      </w:r>
    </w:p>
    <w:p w14:paraId="07B35022" w14:textId="77777777" w:rsidR="004D3266" w:rsidRPr="004D3266" w:rsidRDefault="00316046" w:rsidP="004D3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4D3266">
        <w:rPr>
          <w:rFonts w:ascii="Times New Roman" w:hAnsi="Times New Roman" w:cs="Times New Roman"/>
          <w:sz w:val="24"/>
          <w:szCs w:val="24"/>
        </w:rPr>
        <w:t>4.3.1 Assess any oxygen monitor and alarm condition as requested.</w:t>
      </w:r>
    </w:p>
    <w:p w14:paraId="0515D1DE" w14:textId="77777777" w:rsidR="00A613B6" w:rsidRDefault="00A613B6" w:rsidP="00AA16E2"/>
    <w:p w14:paraId="3120D6E4" w14:textId="77777777" w:rsidR="00A613B6" w:rsidRDefault="00A613B6" w:rsidP="00A613B6"/>
    <w:p w14:paraId="53E0A6DE" w14:textId="77777777" w:rsidR="00A1184E" w:rsidRPr="008C5EA6" w:rsidRDefault="00A1184E" w:rsidP="00A1184E">
      <w:pPr>
        <w:pStyle w:val="Heading2"/>
        <w:rPr>
          <w:color w:val="FF0000"/>
        </w:rPr>
      </w:pPr>
      <w:r w:rsidRPr="008C5EA6">
        <w:rPr>
          <w:color w:val="FF0000"/>
        </w:rPr>
        <w:t>Laboratory Specific Information</w:t>
      </w:r>
    </w:p>
    <w:p w14:paraId="6C6E7BC5" w14:textId="77777777" w:rsidR="00A1184E" w:rsidRDefault="00A1184E" w:rsidP="00A1184E">
      <w:pPr>
        <w:rPr>
          <w:b/>
          <w:color w:val="FF0000"/>
        </w:rPr>
      </w:pPr>
      <w:r w:rsidRPr="00A613B6">
        <w:rPr>
          <w:b/>
          <w:color w:val="FF0000"/>
        </w:rPr>
        <w:t>Prior Approval</w:t>
      </w:r>
      <w:r>
        <w:rPr>
          <w:b/>
          <w:color w:val="FF0000"/>
        </w:rPr>
        <w:t xml:space="preserve"> Required</w:t>
      </w:r>
    </w:p>
    <w:p w14:paraId="658F2EB3" w14:textId="77777777" w:rsidR="00A1184E" w:rsidRDefault="002D4E55" w:rsidP="00A1184E">
      <w:pPr>
        <w:ind w:left="720"/>
        <w:rPr>
          <w:b/>
          <w:color w:val="FF0000"/>
        </w:rPr>
      </w:pPr>
      <w:sdt>
        <w:sdtPr>
          <w:rPr>
            <w:b/>
            <w:color w:val="FF0000"/>
          </w:rPr>
          <w:id w:val="-132951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84E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A1184E">
        <w:rPr>
          <w:b/>
          <w:color w:val="FF0000"/>
        </w:rPr>
        <w:t xml:space="preserve">  NO</w:t>
      </w:r>
    </w:p>
    <w:p w14:paraId="40FF65DD" w14:textId="77777777" w:rsidR="00A1184E" w:rsidRDefault="002D4E55" w:rsidP="00A1184E">
      <w:pPr>
        <w:ind w:left="720"/>
        <w:rPr>
          <w:b/>
          <w:color w:val="FF0000"/>
        </w:rPr>
      </w:pPr>
      <w:sdt>
        <w:sdtPr>
          <w:rPr>
            <w:b/>
            <w:color w:val="FF0000"/>
          </w:rPr>
          <w:id w:val="3481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84E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A1184E">
        <w:rPr>
          <w:b/>
          <w:color w:val="FF0000"/>
        </w:rPr>
        <w:t xml:space="preserve">  YES (describe):</w:t>
      </w:r>
    </w:p>
    <w:p w14:paraId="20F3AB26" w14:textId="77777777" w:rsidR="00A1184E" w:rsidRPr="008C5EA6" w:rsidRDefault="00A1184E" w:rsidP="00A1184E"/>
    <w:p w14:paraId="3EF99ECE" w14:textId="77777777" w:rsidR="00A1184E" w:rsidRDefault="00A1184E" w:rsidP="00A1184E">
      <w:pPr>
        <w:rPr>
          <w:b/>
          <w:color w:val="FF0000"/>
        </w:rPr>
      </w:pPr>
      <w:r>
        <w:rPr>
          <w:b/>
          <w:color w:val="FF0000"/>
        </w:rPr>
        <w:t>Designated Area</w:t>
      </w:r>
    </w:p>
    <w:p w14:paraId="094E220D" w14:textId="77777777" w:rsidR="00A1184E" w:rsidRDefault="002D4E55" w:rsidP="00A1184E">
      <w:pPr>
        <w:ind w:left="720"/>
        <w:rPr>
          <w:b/>
          <w:color w:val="FF0000"/>
        </w:rPr>
      </w:pPr>
      <w:sdt>
        <w:sdtPr>
          <w:rPr>
            <w:b/>
            <w:color w:val="FF0000"/>
          </w:rPr>
          <w:id w:val="17146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84E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A1184E">
        <w:rPr>
          <w:b/>
          <w:color w:val="FF0000"/>
        </w:rPr>
        <w:t xml:space="preserve">  Entire Laboratory Area</w:t>
      </w:r>
    </w:p>
    <w:p w14:paraId="157CFEB4" w14:textId="77777777" w:rsidR="00A1184E" w:rsidRPr="008C5EA6" w:rsidRDefault="002D4E55" w:rsidP="00A1184E">
      <w:pPr>
        <w:ind w:left="720"/>
        <w:rPr>
          <w:b/>
          <w:color w:val="FF0000"/>
        </w:rPr>
      </w:pPr>
      <w:sdt>
        <w:sdtPr>
          <w:rPr>
            <w:b/>
            <w:color w:val="FF0000"/>
          </w:rPr>
          <w:id w:val="176749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84E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A1184E">
        <w:rPr>
          <w:b/>
          <w:color w:val="FF0000"/>
        </w:rPr>
        <w:t xml:space="preserve">  Other (describe):</w:t>
      </w:r>
    </w:p>
    <w:p w14:paraId="7743F8C8" w14:textId="77777777" w:rsidR="00A1184E" w:rsidRDefault="00A1184E" w:rsidP="00A1184E"/>
    <w:p w14:paraId="05AC161C" w14:textId="77777777" w:rsidR="00A1184E" w:rsidRDefault="00A1184E" w:rsidP="00A1184E">
      <w:pPr>
        <w:rPr>
          <w:b/>
          <w:color w:val="FF0000"/>
        </w:rPr>
      </w:pPr>
      <w:r>
        <w:rPr>
          <w:b/>
          <w:color w:val="FF0000"/>
        </w:rPr>
        <w:t>Experimental Conditions of Use</w:t>
      </w:r>
    </w:p>
    <w:p w14:paraId="35D8D09E" w14:textId="77777777" w:rsidR="00A1184E" w:rsidRDefault="00A1184E" w:rsidP="00A1184E">
      <w:pPr>
        <w:ind w:left="720"/>
        <w:rPr>
          <w:b/>
          <w:color w:val="FF0000"/>
        </w:rPr>
      </w:pPr>
      <w:r>
        <w:rPr>
          <w:b/>
          <w:color w:val="FF0000"/>
        </w:rPr>
        <w:t>Temperature Range:</w:t>
      </w:r>
    </w:p>
    <w:p w14:paraId="59C809D3" w14:textId="77777777" w:rsidR="00A1184E" w:rsidRDefault="00A1184E" w:rsidP="00A1184E">
      <w:pPr>
        <w:ind w:left="720"/>
        <w:rPr>
          <w:b/>
          <w:color w:val="FF0000"/>
        </w:rPr>
      </w:pPr>
    </w:p>
    <w:p w14:paraId="6A2DC7FB" w14:textId="77777777" w:rsidR="00A1184E" w:rsidRDefault="00A1184E" w:rsidP="00A1184E">
      <w:pPr>
        <w:ind w:left="720"/>
        <w:rPr>
          <w:b/>
          <w:color w:val="FF0000"/>
        </w:rPr>
      </w:pPr>
      <w:r>
        <w:rPr>
          <w:b/>
          <w:color w:val="FF0000"/>
        </w:rPr>
        <w:t>Pressure Range:</w:t>
      </w:r>
    </w:p>
    <w:p w14:paraId="795DCA56" w14:textId="77777777" w:rsidR="00A1184E" w:rsidRDefault="00A1184E" w:rsidP="00A1184E">
      <w:pPr>
        <w:ind w:left="720"/>
        <w:rPr>
          <w:b/>
          <w:color w:val="FF0000"/>
        </w:rPr>
      </w:pPr>
    </w:p>
    <w:p w14:paraId="1E284380" w14:textId="77777777" w:rsidR="00A1184E" w:rsidRDefault="00A1184E" w:rsidP="00A1184E">
      <w:pPr>
        <w:ind w:left="720"/>
        <w:rPr>
          <w:b/>
          <w:color w:val="FF0000"/>
        </w:rPr>
      </w:pPr>
      <w:r>
        <w:rPr>
          <w:b/>
          <w:color w:val="FF0000"/>
        </w:rPr>
        <w:t>Scale Range:</w:t>
      </w:r>
    </w:p>
    <w:p w14:paraId="09B23B87" w14:textId="77777777" w:rsidR="00A1184E" w:rsidRDefault="00A1184E" w:rsidP="00A1184E">
      <w:pPr>
        <w:ind w:left="720"/>
        <w:rPr>
          <w:b/>
          <w:color w:val="FF0000"/>
        </w:rPr>
      </w:pPr>
    </w:p>
    <w:p w14:paraId="15A25C19" w14:textId="77777777" w:rsidR="00A1184E" w:rsidRPr="00F142DA" w:rsidRDefault="00A1184E" w:rsidP="00A1184E">
      <w:pPr>
        <w:ind w:left="720"/>
        <w:rPr>
          <w:b/>
          <w:color w:val="FF0000"/>
        </w:rPr>
      </w:pPr>
      <w:r>
        <w:rPr>
          <w:b/>
          <w:color w:val="FF0000"/>
        </w:rPr>
        <w:t>Other Relevant Details:</w:t>
      </w:r>
    </w:p>
    <w:p w14:paraId="10B3EB73" w14:textId="77777777" w:rsidR="00545047" w:rsidRDefault="00545047" w:rsidP="00F142DA">
      <w:pPr>
        <w:ind w:left="720"/>
        <w:rPr>
          <w:b/>
          <w:color w:val="FF0000"/>
        </w:rPr>
      </w:pPr>
    </w:p>
    <w:p w14:paraId="615C4F60" w14:textId="77777777" w:rsidR="00F142DA" w:rsidRDefault="00F142DA" w:rsidP="00F142DA">
      <w:pPr>
        <w:ind w:left="720"/>
        <w:rPr>
          <w:b/>
          <w:color w:val="FF0000"/>
        </w:rPr>
      </w:pPr>
      <w:r>
        <w:rPr>
          <w:b/>
          <w:color w:val="FF0000"/>
        </w:rPr>
        <w:t>Other Relevant Details</w:t>
      </w:r>
      <w:r w:rsidR="00545047">
        <w:rPr>
          <w:b/>
          <w:color w:val="FF0000"/>
        </w:rPr>
        <w:t>:</w:t>
      </w:r>
    </w:p>
    <w:p w14:paraId="2D5E0359" w14:textId="77777777" w:rsidR="00A44221" w:rsidRDefault="00A44221" w:rsidP="00F142DA">
      <w:pPr>
        <w:ind w:left="720"/>
        <w:rPr>
          <w:b/>
          <w:color w:val="FF0000"/>
        </w:rPr>
      </w:pPr>
    </w:p>
    <w:p w14:paraId="0AB32F46" w14:textId="77777777" w:rsidR="00A44221" w:rsidRPr="00A44221" w:rsidRDefault="00A44221" w:rsidP="00A442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44221">
        <w:rPr>
          <w:rFonts w:ascii="Arial" w:eastAsia="Times New Roman" w:hAnsi="Arial" w:cs="Arial"/>
          <w:color w:val="222222"/>
          <w:sz w:val="24"/>
          <w:szCs w:val="24"/>
        </w:rPr>
        <w:t>List the hazards and symptoms associated with oxygen-deficient atmosphere: </w:t>
      </w:r>
      <w:hyperlink r:id="rId7" w:tgtFrame="_blank" w:history="1">
        <w:r w:rsidRPr="00A44221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https://www.energy.gov/sites/default/files/2021-10/OE-3_2021-05_Oxygen_Deficient_Atmosphere_Hazards_at_DOE_Facilities.pdf</w:t>
        </w:r>
      </w:hyperlink>
    </w:p>
    <w:p w14:paraId="17293DEA" w14:textId="77777777" w:rsidR="00A44221" w:rsidRPr="00F142DA" w:rsidRDefault="00A44221" w:rsidP="00F142DA">
      <w:pPr>
        <w:ind w:left="720"/>
        <w:rPr>
          <w:b/>
          <w:color w:val="FF0000"/>
        </w:rPr>
      </w:pPr>
    </w:p>
    <w:sectPr w:rsidR="00A44221" w:rsidRPr="00F142DA" w:rsidSect="00CE35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22A" w14:textId="77777777" w:rsidR="002D4E55" w:rsidRDefault="002D4E55" w:rsidP="006C29CD">
      <w:pPr>
        <w:spacing w:after="0" w:line="240" w:lineRule="auto"/>
      </w:pPr>
      <w:r>
        <w:separator/>
      </w:r>
    </w:p>
  </w:endnote>
  <w:endnote w:type="continuationSeparator" w:id="0">
    <w:p w14:paraId="35E2D1D1" w14:textId="77777777" w:rsidR="002D4E55" w:rsidRDefault="002D4E55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4B9B" w14:textId="77777777" w:rsidR="002D4E55" w:rsidRDefault="002D4E55" w:rsidP="006C29CD">
      <w:pPr>
        <w:spacing w:after="0" w:line="240" w:lineRule="auto"/>
      </w:pPr>
      <w:r>
        <w:separator/>
      </w:r>
    </w:p>
  </w:footnote>
  <w:footnote w:type="continuationSeparator" w:id="0">
    <w:p w14:paraId="70AFC78E" w14:textId="77777777" w:rsidR="002D4E55" w:rsidRDefault="002D4E55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56ED" w14:textId="77777777" w:rsidR="006C29CD" w:rsidRPr="000D2FAB" w:rsidRDefault="006C29CD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341D"/>
    <w:multiLevelType w:val="multilevel"/>
    <w:tmpl w:val="E516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E0851"/>
    <w:multiLevelType w:val="hybridMultilevel"/>
    <w:tmpl w:val="5988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26D59"/>
    <w:rsid w:val="000D2FAB"/>
    <w:rsid w:val="001C1F49"/>
    <w:rsid w:val="00263B8E"/>
    <w:rsid w:val="00275DF7"/>
    <w:rsid w:val="00290938"/>
    <w:rsid w:val="002D4E55"/>
    <w:rsid w:val="00316046"/>
    <w:rsid w:val="00340D07"/>
    <w:rsid w:val="004221D6"/>
    <w:rsid w:val="00473F28"/>
    <w:rsid w:val="004761A6"/>
    <w:rsid w:val="00490B6F"/>
    <w:rsid w:val="004D3266"/>
    <w:rsid w:val="00526C74"/>
    <w:rsid w:val="005432C0"/>
    <w:rsid w:val="00545047"/>
    <w:rsid w:val="00545DCD"/>
    <w:rsid w:val="006C29CD"/>
    <w:rsid w:val="006C2B8F"/>
    <w:rsid w:val="007F5D56"/>
    <w:rsid w:val="008C5EA6"/>
    <w:rsid w:val="00901D4E"/>
    <w:rsid w:val="0091640D"/>
    <w:rsid w:val="00934389"/>
    <w:rsid w:val="0094331F"/>
    <w:rsid w:val="009B2E79"/>
    <w:rsid w:val="009E4C65"/>
    <w:rsid w:val="00A039F9"/>
    <w:rsid w:val="00A1184E"/>
    <w:rsid w:val="00A322A9"/>
    <w:rsid w:val="00A44221"/>
    <w:rsid w:val="00A613B6"/>
    <w:rsid w:val="00AA16E2"/>
    <w:rsid w:val="00AB12CE"/>
    <w:rsid w:val="00B15690"/>
    <w:rsid w:val="00B71904"/>
    <w:rsid w:val="00B83225"/>
    <w:rsid w:val="00C62568"/>
    <w:rsid w:val="00C86118"/>
    <w:rsid w:val="00CB617C"/>
    <w:rsid w:val="00CE3517"/>
    <w:rsid w:val="00CF3339"/>
    <w:rsid w:val="00D67A1E"/>
    <w:rsid w:val="00E57BDB"/>
    <w:rsid w:val="00F142DA"/>
    <w:rsid w:val="00F5147B"/>
    <w:rsid w:val="00F8377E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3D98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44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nergy.gov/sites/default/files/2021-10/OE-3_2021-05_Oxygen_Deficient_Atmosphere_Hazards_at_DOE_Faciliti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UCSB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EH&amp;S Acuna, Hector</cp:lastModifiedBy>
  <cp:revision>2</cp:revision>
  <dcterms:created xsi:type="dcterms:W3CDTF">2026-02-27T22:25:00Z</dcterms:created>
  <dcterms:modified xsi:type="dcterms:W3CDTF">2026-02-27T22:25:00Z</dcterms:modified>
</cp:coreProperties>
</file>